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3216"/>
        <w:gridCol w:w="3216"/>
        <w:gridCol w:w="3216"/>
      </w:tblGrid>
      <w:tr>
        <w:trPr>
          <w:trHeight w:val="567" w:hRule="exact"/>
        </w:trPr>
        <w:tc>
          <w:tcPr>
            <w:tcW w:type="dxa" w:w="5184"/>
            <w:shd w:val="clear" w:color="auto" w:fill="1A3A6A"/>
          </w:tcPr>
          <w:p>
            <w:pPr>
              <w:jc w:val="center"/>
            </w:pPr>
            <w:r>
              <w:rPr>
                <w:rFonts w:ascii="Calibri" w:hAnsi="Calibri"/>
                <w:b/>
                <w:color w:val="FFFFFF"/>
                <w:sz w:val="32"/>
              </w:rPr>
              <w:t>Fichas de Trabajo</w:t>
            </w:r>
          </w:p>
        </w:tc>
        <w:tc>
          <w:tcPr>
            <w:tcW w:type="dxa" w:w="3456"/>
            <w:shd w:val="clear" w:color="auto" w:fill="1A3A6A"/>
          </w:tcPr>
          <w:p>
            <w:pPr>
              <w:jc w:val="center"/>
            </w:pPr>
            <w:r>
              <w:drawing>
                <wp:inline xmlns:a="http://schemas.openxmlformats.org/drawingml/2006/main" xmlns:pic="http://schemas.openxmlformats.org/drawingml/2006/picture">
                  <wp:extent cx="1417320" cy="523383"/>
                  <wp:docPr id="1" name="Picture 1"/>
                  <wp:cNvGraphicFramePr>
                    <a:graphicFrameLocks noChangeAspect="1"/>
                  </wp:cNvGraphicFramePr>
                  <a:graphic>
                    <a:graphicData uri="http://schemas.openxmlformats.org/drawingml/2006/picture">
                      <pic:pic>
                        <pic:nvPicPr>
                          <pic:cNvPr id="0" name="logo_laspalmas.png"/>
                          <pic:cNvPicPr/>
                        </pic:nvPicPr>
                        <pic:blipFill>
                          <a:blip r:embed="rId9"/>
                          <a:stretch>
                            <a:fillRect/>
                          </a:stretch>
                        </pic:blipFill>
                        <pic:spPr>
                          <a:xfrm>
                            <a:off x="0" y="0"/>
                            <a:ext cx="1417320" cy="523383"/>
                          </a:xfrm>
                          <a:prstGeom prst="rect"/>
                        </pic:spPr>
                      </pic:pic>
                    </a:graphicData>
                  </a:graphic>
                </wp:inline>
              </w:drawing>
            </w:r>
          </w:p>
        </w:tc>
        <w:tc>
          <w:tcPr>
            <w:tcW w:type="dxa" w:w="2160"/>
            <w:shd w:val="clear" w:color="auto" w:fill="1A3A6A"/>
          </w:tcPr>
          <w:p>
            <w:pPr>
              <w:jc w:val="center"/>
            </w:pPr>
            <w:r>
              <w:rPr>
                <w:rFonts w:ascii="Calibri" w:hAnsi="Calibri"/>
                <w:b/>
                <w:color w:val="FFFFFF"/>
                <w:sz w:val="28"/>
              </w:rPr>
              <w:t>5to  PRIMARIA</w:t>
            </w:r>
          </w:p>
        </w:tc>
      </w:tr>
      <w:tr>
        <w:trPr>
          <w:trHeight w:val="311" w:hRule="exact"/>
        </w:trPr>
        <w:tc>
          <w:tcPr>
            <w:tcW w:type="dxa" w:w="9648"/>
            <w:gridSpan w:val="3"/>
            <w:shd w:val="clear" w:color="auto" w:fill="143060"/>
          </w:tcPr>
          <w:p>
            <w:pPr>
              <w:jc w:val="center"/>
            </w:pPr>
            <w:r>
              <w:rPr>
                <w:rFonts w:ascii="Calibri" w:hAnsi="Calibri"/>
                <w:b/>
                <w:color w:val="FFFFFF"/>
                <w:sz w:val="24"/>
              </w:rPr>
              <w:t>PLANIFICACIÓN CURRICULAR</w:t>
            </w:r>
          </w:p>
        </w:tc>
      </w:tr>
    </w:tbl>
    <w:p/>
    <w:p>
      <w:pPr>
        <w:jc w:val="center"/>
        <w:pBdr>
          <w:bottom w:val="single" w:sz="24" w:space="6" w:color="1A3A6A"/>
        </w:pBdr>
      </w:pPr>
      <w:r>
        <w:rPr>
          <w:rFonts w:ascii="Impact" w:hAnsi="Impact"/>
          <w:b/>
          <w:color w:val="1A3A6A"/>
          <w:sz w:val="44"/>
        </w:rPr>
        <w:t>LENGUAJE Y COMUNICACIÓN: EXPRESAMOS NUESTRO MUNDO</w:t>
      </w:r>
    </w:p>
    <w:p/>
    <w:p>
      <w:pPr>
        <w:pStyle w:val="Heading2"/>
        <w:spacing w:before="160" w:after="80"/>
      </w:pPr>
      <w:r>
        <w:rPr>
          <w:rFonts w:ascii="Calibri" w:hAnsi="Calibri"/>
          <w:color w:val="1A3A6A"/>
          <w:sz w:val="28"/>
        </w:rPr>
        <w:t>Perfil Neuro-Inclusivo del Aula</w:t>
      </w:r>
    </w:p>
    <w:p>
      <w:pPr>
        <w:spacing w:after="80"/>
      </w:pPr>
      <w:r>
        <w:rPr>
          <w:rFonts w:ascii="Calibri" w:hAnsi="Calibri"/>
          <w:b w:val="0"/>
          <w:i w:val="0"/>
          <w:color w:val="1A1A1A"/>
          <w:sz w:val="22"/>
        </w:rPr>
        <w:t>TEA (1), TDAH (2), Dislexia (1), Alta Capacidad (1)</w:t>
      </w:r>
    </w:p>
    <w:p/>
    <w:p>
      <w:pPr>
        <w:pStyle w:val="Heading2"/>
        <w:spacing w:before="160" w:after="80"/>
      </w:pPr>
      <w:r>
        <w:rPr>
          <w:rFonts w:ascii="Calibri" w:hAnsi="Calibri"/>
          <w:color w:val="1A3A6A"/>
          <w:sz w:val="28"/>
        </w:rPr>
        <w:t>Temas de la Unidad</w:t>
      </w:r>
    </w:p>
    <w:p>
      <w:pPr>
        <w:pStyle w:val="Heading3"/>
        <w:spacing w:before="160" w:after="80"/>
      </w:pPr>
      <w:r>
        <w:rPr>
          <w:rFonts w:ascii="Calibri" w:hAnsi="Calibri"/>
          <w:color w:val="1B5E20"/>
          <w:sz w:val="24"/>
        </w:rPr>
        <w:t>Exponer un tema</w:t>
      </w:r>
    </w:p>
    <w:p>
      <w:pPr>
        <w:spacing w:after="80"/>
      </w:pPr>
      <w:r>
        <w:rPr>
          <w:rFonts w:ascii="Calibri" w:hAnsi="Calibri"/>
          <w:b/>
          <w:i w:val="0"/>
          <w:color w:val="1A1A1A"/>
          <w:sz w:val="22"/>
        </w:rPr>
        <w:t>Conceptos Clave:</w:t>
      </w:r>
    </w:p>
    <w:p>
      <w:pPr>
        <w:pStyle w:val="ListBullet"/>
      </w:pPr>
      <w:r>
        <w:rPr>
          <w:rFonts w:ascii="Calibri" w:hAnsi="Calibri"/>
          <w:color w:val="1A3A6A"/>
          <w:sz w:val="22"/>
        </w:rPr>
        <w:t>Estructura de la exposición (introducción, desarrollo y cierre)</w:t>
      </w:r>
    </w:p>
    <w:p>
      <w:pPr>
        <w:pStyle w:val="ListBullet"/>
      </w:pPr>
      <w:r>
        <w:rPr>
          <w:rFonts w:ascii="Calibri" w:hAnsi="Calibri"/>
          <w:color w:val="1A3A6A"/>
          <w:sz w:val="22"/>
        </w:rPr>
        <w:t>Lenguaje corporal y contacto visual</w:t>
      </w:r>
    </w:p>
    <w:p>
      <w:pPr>
        <w:pStyle w:val="ListBullet"/>
      </w:pPr>
      <w:r>
        <w:rPr>
          <w:rFonts w:ascii="Calibri" w:hAnsi="Calibri"/>
          <w:color w:val="1A3A6A"/>
          <w:sz w:val="22"/>
        </w:rPr>
        <w:t>Tono y volumen de voz</w:t>
      </w:r>
    </w:p>
    <w:p>
      <w:pPr>
        <w:pStyle w:val="ListBullet"/>
      </w:pPr>
      <w:r>
        <w:rPr>
          <w:rFonts w:ascii="Calibri" w:hAnsi="Calibri"/>
          <w:color w:val="1A3A6A"/>
          <w:sz w:val="22"/>
        </w:rPr>
        <w:t>Uso de material de apoyo visual</w:t>
      </w:r>
    </w:p>
    <w:p>
      <w:pPr>
        <w:spacing w:after="80"/>
      </w:pPr>
      <w:r>
        <w:rPr>
          <w:rFonts w:ascii="Calibri" w:hAnsi="Calibri"/>
          <w:b/>
          <w:i w:val="0"/>
          <w:color w:val="1A1A1A"/>
          <w:sz w:val="22"/>
        </w:rPr>
        <w:t>Inteligencias Múltiples:</w:t>
      </w:r>
    </w:p>
    <w:p>
      <w:pPr>
        <w:pStyle w:val="ListBullet"/>
      </w:pPr>
      <w:r>
        <w:rPr>
          <w:rFonts w:ascii="Calibri" w:hAnsi="Calibri"/>
          <w:color w:val="1A1A1A"/>
          <w:sz w:val="22"/>
        </w:rPr>
        <w:t>Inteligencia Lingüística</w:t>
      </w:r>
    </w:p>
    <w:p>
      <w:pPr>
        <w:pStyle w:val="ListBullet"/>
      </w:pPr>
      <w:r>
        <w:rPr>
          <w:rFonts w:ascii="Calibri" w:hAnsi="Calibri"/>
          <w:color w:val="1A1A1A"/>
          <w:sz w:val="22"/>
        </w:rPr>
        <w:t>Inteligencia Corporal-Kinestésica</w:t>
      </w:r>
    </w:p>
    <w:p>
      <w:pPr>
        <w:pStyle w:val="ListBullet"/>
      </w:pPr>
      <w:r>
        <w:rPr>
          <w:rFonts w:ascii="Calibri" w:hAnsi="Calibri"/>
          <w:color w:val="1A1A1A"/>
          <w:sz w:val="22"/>
        </w:rPr>
        <w:t>Inteligencia Interpersonal</w:t>
      </w:r>
    </w:p>
    <w:p>
      <w:pPr>
        <w:pStyle w:val="ListBullet"/>
      </w:pPr>
      <w:r>
        <w:rPr>
          <w:rFonts w:ascii="Calibri" w:hAnsi="Calibri"/>
          <w:color w:val="1A1A1A"/>
          <w:sz w:val="22"/>
        </w:rPr>
        <w:t>Inteligencia Visual-Espacial</w:t>
      </w:r>
    </w:p>
    <w:p/>
    <w:p>
      <w:pPr>
        <w:pStyle w:val="Heading3"/>
        <w:spacing w:before="160" w:after="80"/>
      </w:pPr>
      <w:r>
        <w:rPr>
          <w:rFonts w:ascii="Calibri" w:hAnsi="Calibri"/>
          <w:color w:val="1B5E20"/>
          <w:sz w:val="24"/>
        </w:rPr>
        <w:t>Los elementos de la comunicación</w:t>
      </w:r>
    </w:p>
    <w:p>
      <w:pPr>
        <w:spacing w:after="80"/>
      </w:pPr>
      <w:r>
        <w:rPr>
          <w:rFonts w:ascii="Calibri" w:hAnsi="Calibri"/>
          <w:b/>
          <w:i w:val="0"/>
          <w:color w:val="1A1A1A"/>
          <w:sz w:val="22"/>
        </w:rPr>
        <w:t>Conceptos Clave:</w:t>
      </w:r>
    </w:p>
    <w:p>
      <w:pPr>
        <w:pStyle w:val="ListBullet"/>
      </w:pPr>
      <w:r>
        <w:rPr>
          <w:rFonts w:ascii="Calibri" w:hAnsi="Calibri"/>
          <w:color w:val="1A3A6A"/>
          <w:sz w:val="22"/>
        </w:rPr>
        <w:t>Emisor y receptor</w:t>
      </w:r>
    </w:p>
    <w:p>
      <w:pPr>
        <w:pStyle w:val="ListBullet"/>
      </w:pPr>
      <w:r>
        <w:rPr>
          <w:rFonts w:ascii="Calibri" w:hAnsi="Calibri"/>
          <w:color w:val="1A3A6A"/>
          <w:sz w:val="22"/>
        </w:rPr>
        <w:t>Mensaje y canal</w:t>
      </w:r>
    </w:p>
    <w:p>
      <w:pPr>
        <w:pStyle w:val="ListBullet"/>
      </w:pPr>
      <w:r>
        <w:rPr>
          <w:rFonts w:ascii="Calibri" w:hAnsi="Calibri"/>
          <w:color w:val="1A3A6A"/>
          <w:sz w:val="22"/>
        </w:rPr>
        <w:t>Código (verbal y no verbal)</w:t>
      </w:r>
    </w:p>
    <w:p>
      <w:pPr>
        <w:pStyle w:val="ListBullet"/>
      </w:pPr>
      <w:r>
        <w:rPr>
          <w:rFonts w:ascii="Calibri" w:hAnsi="Calibri"/>
          <w:color w:val="1A3A6A"/>
          <w:sz w:val="22"/>
        </w:rPr>
        <w:t>Contexto o situación comunicativa</w:t>
      </w:r>
    </w:p>
    <w:p>
      <w:pPr>
        <w:spacing w:after="80"/>
      </w:pPr>
      <w:r>
        <w:rPr>
          <w:rFonts w:ascii="Calibri" w:hAnsi="Calibri"/>
          <w:b/>
          <w:i w:val="0"/>
          <w:color w:val="1A1A1A"/>
          <w:sz w:val="22"/>
        </w:rPr>
        <w:t>Inteligencias Múltiples:</w:t>
      </w:r>
    </w:p>
    <w:p>
      <w:pPr>
        <w:pStyle w:val="ListBullet"/>
      </w:pPr>
      <w:r>
        <w:rPr>
          <w:rFonts w:ascii="Calibri" w:hAnsi="Calibri"/>
          <w:color w:val="1A1A1A"/>
          <w:sz w:val="22"/>
        </w:rPr>
        <w:t>Inteligencia Lingüística</w:t>
      </w:r>
    </w:p>
    <w:p>
      <w:pPr>
        <w:pStyle w:val="ListBullet"/>
      </w:pPr>
      <w:r>
        <w:rPr>
          <w:rFonts w:ascii="Calibri" w:hAnsi="Calibri"/>
          <w:color w:val="1A1A1A"/>
          <w:sz w:val="22"/>
        </w:rPr>
        <w:t>Inteligencia Interpersonal</w:t>
      </w:r>
    </w:p>
    <w:p>
      <w:pPr>
        <w:pStyle w:val="ListBullet"/>
      </w:pPr>
      <w:r>
        <w:rPr>
          <w:rFonts w:ascii="Calibri" w:hAnsi="Calibri"/>
          <w:color w:val="1A1A1A"/>
          <w:sz w:val="22"/>
        </w:rPr>
        <w:t>Inteligencia Lógico-Matemática</w:t>
      </w:r>
    </w:p>
    <w:p/>
    <w:p>
      <w:pPr>
        <w:pStyle w:val="Heading3"/>
        <w:spacing w:before="160" w:after="80"/>
      </w:pPr>
      <w:r>
        <w:rPr>
          <w:rFonts w:ascii="Calibri" w:hAnsi="Calibri"/>
          <w:color w:val="1B5E20"/>
          <w:sz w:val="24"/>
        </w:rPr>
        <w:t>El sustantivo y sus clases</w:t>
      </w:r>
    </w:p>
    <w:p>
      <w:pPr>
        <w:spacing w:after="80"/>
      </w:pPr>
      <w:r>
        <w:rPr>
          <w:rFonts w:ascii="Calibri" w:hAnsi="Calibri"/>
          <w:b/>
          <w:i w:val="0"/>
          <w:color w:val="1A1A1A"/>
          <w:sz w:val="22"/>
        </w:rPr>
        <w:t>Conceptos Clave:</w:t>
      </w:r>
    </w:p>
    <w:p>
      <w:pPr>
        <w:pStyle w:val="ListBullet"/>
      </w:pPr>
      <w:r>
        <w:rPr>
          <w:rFonts w:ascii="Calibri" w:hAnsi="Calibri"/>
          <w:color w:val="1A3A6A"/>
          <w:sz w:val="22"/>
        </w:rPr>
        <w:t>Sustantivos propios y comunes</w:t>
      </w:r>
    </w:p>
    <w:p>
      <w:pPr>
        <w:pStyle w:val="ListBullet"/>
      </w:pPr>
      <w:r>
        <w:rPr>
          <w:rFonts w:ascii="Calibri" w:hAnsi="Calibri"/>
          <w:color w:val="1A3A6A"/>
          <w:sz w:val="22"/>
        </w:rPr>
        <w:t>Sustantivos concretos y abstractos</w:t>
      </w:r>
    </w:p>
    <w:p>
      <w:pPr>
        <w:pStyle w:val="ListBullet"/>
      </w:pPr>
      <w:r>
        <w:rPr>
          <w:rFonts w:ascii="Calibri" w:hAnsi="Calibri"/>
          <w:color w:val="1A3A6A"/>
          <w:sz w:val="22"/>
        </w:rPr>
        <w:t>Sustantivos individuales y colectivos</w:t>
      </w:r>
    </w:p>
    <w:p>
      <w:pPr>
        <w:pStyle w:val="ListBullet"/>
      </w:pPr>
      <w:r>
        <w:rPr>
          <w:rFonts w:ascii="Calibri" w:hAnsi="Calibri"/>
          <w:color w:val="1A3A6A"/>
          <w:sz w:val="22"/>
        </w:rPr>
        <w:t>El género y el número en el sustantivo</w:t>
      </w:r>
    </w:p>
    <w:p>
      <w:pPr>
        <w:spacing w:after="80"/>
      </w:pPr>
      <w:r>
        <w:rPr>
          <w:rFonts w:ascii="Calibri" w:hAnsi="Calibri"/>
          <w:b/>
          <w:i w:val="0"/>
          <w:color w:val="1A1A1A"/>
          <w:sz w:val="22"/>
        </w:rPr>
        <w:t>Inteligencias Múltiples:</w:t>
      </w:r>
    </w:p>
    <w:p>
      <w:pPr>
        <w:pStyle w:val="ListBullet"/>
      </w:pPr>
      <w:r>
        <w:rPr>
          <w:rFonts w:ascii="Calibri" w:hAnsi="Calibri"/>
          <w:color w:val="1A1A1A"/>
          <w:sz w:val="22"/>
        </w:rPr>
        <w:t>Inteligencia Lingüística</w:t>
      </w:r>
    </w:p>
    <w:p>
      <w:pPr>
        <w:pStyle w:val="ListBullet"/>
      </w:pPr>
      <w:r>
        <w:rPr>
          <w:rFonts w:ascii="Calibri" w:hAnsi="Calibri"/>
          <w:color w:val="1A1A1A"/>
          <w:sz w:val="22"/>
        </w:rPr>
        <w:t>Inteligencia Lógico-Matemática</w:t>
      </w:r>
    </w:p>
    <w:p>
      <w:pPr>
        <w:pStyle w:val="ListBullet"/>
      </w:pPr>
      <w:r>
        <w:rPr>
          <w:rFonts w:ascii="Calibri" w:hAnsi="Calibri"/>
          <w:color w:val="1A1A1A"/>
          <w:sz w:val="22"/>
        </w:rPr>
        <w:t>Inteligencia Naturalista</w:t>
      </w:r>
    </w:p>
    <w:p/>
    <w:p>
      <w:pPr>
        <w:pStyle w:val="Heading3"/>
        <w:spacing w:before="160" w:after="80"/>
      </w:pPr>
      <w:r>
        <w:rPr>
          <w:rFonts w:ascii="Calibri" w:hAnsi="Calibri"/>
          <w:color w:val="1B5E20"/>
          <w:sz w:val="24"/>
        </w:rPr>
        <w:t>El uso de los dos puntos y del punto y coma</w:t>
      </w:r>
    </w:p>
    <w:p>
      <w:pPr>
        <w:spacing w:after="80"/>
      </w:pPr>
      <w:r>
        <w:rPr>
          <w:rFonts w:ascii="Calibri" w:hAnsi="Calibri"/>
          <w:b/>
          <w:i w:val="0"/>
          <w:color w:val="1A1A1A"/>
          <w:sz w:val="22"/>
        </w:rPr>
        <w:t>Conceptos Clave:</w:t>
      </w:r>
    </w:p>
    <w:p>
      <w:pPr>
        <w:pStyle w:val="ListBullet"/>
      </w:pPr>
      <w:r>
        <w:rPr>
          <w:rFonts w:ascii="Calibri" w:hAnsi="Calibri"/>
          <w:color w:val="1A3A6A"/>
          <w:sz w:val="22"/>
        </w:rPr>
        <w:t>Pausas medias y largas al leer</w:t>
      </w:r>
    </w:p>
    <w:p>
      <w:pPr>
        <w:pStyle w:val="ListBullet"/>
      </w:pPr>
      <w:r>
        <w:rPr>
          <w:rFonts w:ascii="Calibri" w:hAnsi="Calibri"/>
          <w:color w:val="1A3A6A"/>
          <w:sz w:val="22"/>
        </w:rPr>
        <w:t>Los dos puntos en enumeraciones, saludos y citas</w:t>
      </w:r>
    </w:p>
    <w:p>
      <w:pPr>
        <w:pStyle w:val="ListBullet"/>
      </w:pPr>
      <w:r>
        <w:rPr>
          <w:rFonts w:ascii="Calibri" w:hAnsi="Calibri"/>
          <w:color w:val="1A3A6A"/>
          <w:sz w:val="22"/>
        </w:rPr>
        <w:t>El punto y coma para separar elementos largos y complejos</w:t>
      </w:r>
    </w:p>
    <w:p>
      <w:pPr>
        <w:pStyle w:val="ListBullet"/>
      </w:pPr>
      <w:r>
        <w:rPr>
          <w:rFonts w:ascii="Calibri" w:hAnsi="Calibri"/>
          <w:color w:val="1A3A6A"/>
          <w:sz w:val="22"/>
        </w:rPr>
        <w:t>Aplicación en la escritura</w:t>
      </w:r>
    </w:p>
    <w:p>
      <w:pPr>
        <w:spacing w:after="80"/>
      </w:pPr>
      <w:r>
        <w:rPr>
          <w:rFonts w:ascii="Calibri" w:hAnsi="Calibri"/>
          <w:b/>
          <w:i w:val="0"/>
          <w:color w:val="1A1A1A"/>
          <w:sz w:val="22"/>
        </w:rPr>
        <w:t>Inteligencias Múltiples:</w:t>
      </w:r>
    </w:p>
    <w:p>
      <w:pPr>
        <w:pStyle w:val="ListBullet"/>
      </w:pPr>
      <w:r>
        <w:rPr>
          <w:rFonts w:ascii="Calibri" w:hAnsi="Calibri"/>
          <w:color w:val="1A1A1A"/>
          <w:sz w:val="22"/>
        </w:rPr>
        <w:t>Inteligencia Lingüística</w:t>
      </w:r>
    </w:p>
    <w:p>
      <w:pPr>
        <w:pStyle w:val="ListBullet"/>
      </w:pPr>
      <w:r>
        <w:rPr>
          <w:rFonts w:ascii="Calibri" w:hAnsi="Calibri"/>
          <w:color w:val="1A1A1A"/>
          <w:sz w:val="22"/>
        </w:rPr>
        <w:t>Inteligencia Musical</w:t>
      </w:r>
    </w:p>
    <w:p>
      <w:pPr>
        <w:pStyle w:val="ListBullet"/>
      </w:pPr>
      <w:r>
        <w:rPr>
          <w:rFonts w:ascii="Calibri" w:hAnsi="Calibri"/>
          <w:color w:val="1A1A1A"/>
          <w:sz w:val="22"/>
        </w:rPr>
        <w:t>Inteligencia Visual-Espacial</w:t>
      </w:r>
    </w:p>
    <w:p/>
    <w:p>
      <w:pPr>
        <w:pStyle w:val="Heading3"/>
        <w:spacing w:before="160" w:after="80"/>
      </w:pPr>
      <w:r>
        <w:rPr>
          <w:rFonts w:ascii="Calibri" w:hAnsi="Calibri"/>
          <w:color w:val="1B5E20"/>
          <w:sz w:val="24"/>
        </w:rPr>
        <w:t>La elaboración de un resumen narrativo</w:t>
      </w:r>
    </w:p>
    <w:p>
      <w:pPr>
        <w:spacing w:after="80"/>
      </w:pPr>
      <w:r>
        <w:rPr>
          <w:rFonts w:ascii="Calibri" w:hAnsi="Calibri"/>
          <w:b/>
          <w:i w:val="0"/>
          <w:color w:val="1A1A1A"/>
          <w:sz w:val="22"/>
        </w:rPr>
        <w:t>Conceptos Clave:</w:t>
      </w:r>
    </w:p>
    <w:p>
      <w:pPr>
        <w:pStyle w:val="ListBullet"/>
      </w:pPr>
      <w:r>
        <w:rPr>
          <w:rFonts w:ascii="Calibri" w:hAnsi="Calibri"/>
          <w:color w:val="1A3A6A"/>
          <w:sz w:val="22"/>
        </w:rPr>
        <w:t>Identificación de ideas principales y secundarias</w:t>
      </w:r>
    </w:p>
    <w:p>
      <w:pPr>
        <w:pStyle w:val="ListBullet"/>
      </w:pPr>
      <w:r>
        <w:rPr>
          <w:rFonts w:ascii="Calibri" w:hAnsi="Calibri"/>
          <w:color w:val="1A3A6A"/>
          <w:sz w:val="22"/>
        </w:rPr>
        <w:t>Secuencia temporal (inicio, nudo y desenlace)</w:t>
      </w:r>
    </w:p>
    <w:p>
      <w:pPr>
        <w:pStyle w:val="ListBullet"/>
      </w:pPr>
      <w:r>
        <w:rPr>
          <w:rFonts w:ascii="Calibri" w:hAnsi="Calibri"/>
          <w:color w:val="1A3A6A"/>
          <w:sz w:val="22"/>
        </w:rPr>
        <w:t>Síntesis con palabras propias</w:t>
      </w:r>
    </w:p>
    <w:p>
      <w:pPr>
        <w:pStyle w:val="ListBullet"/>
      </w:pPr>
      <w:r>
        <w:rPr>
          <w:rFonts w:ascii="Calibri" w:hAnsi="Calibri"/>
          <w:color w:val="1A3A6A"/>
          <w:sz w:val="22"/>
        </w:rPr>
        <w:t>Conectores temporales</w:t>
      </w:r>
    </w:p>
    <w:p>
      <w:pPr>
        <w:spacing w:after="80"/>
      </w:pPr>
      <w:r>
        <w:rPr>
          <w:rFonts w:ascii="Calibri" w:hAnsi="Calibri"/>
          <w:b/>
          <w:i w:val="0"/>
          <w:color w:val="1A1A1A"/>
          <w:sz w:val="22"/>
        </w:rPr>
        <w:t>Inteligencias Múltiples:</w:t>
      </w:r>
    </w:p>
    <w:p>
      <w:pPr>
        <w:pStyle w:val="ListBullet"/>
      </w:pPr>
      <w:r>
        <w:rPr>
          <w:rFonts w:ascii="Calibri" w:hAnsi="Calibri"/>
          <w:color w:val="1A1A1A"/>
          <w:sz w:val="22"/>
        </w:rPr>
        <w:t>Inteligencia Lingüística</w:t>
      </w:r>
    </w:p>
    <w:p>
      <w:pPr>
        <w:pStyle w:val="ListBullet"/>
      </w:pPr>
      <w:r>
        <w:rPr>
          <w:rFonts w:ascii="Calibri" w:hAnsi="Calibri"/>
          <w:color w:val="1A1A1A"/>
          <w:sz w:val="22"/>
        </w:rPr>
        <w:t>Inteligencia Intrapersonal</w:t>
      </w:r>
    </w:p>
    <w:p>
      <w:pPr>
        <w:pStyle w:val="ListBullet"/>
      </w:pPr>
      <w:r>
        <w:rPr>
          <w:rFonts w:ascii="Calibri" w:hAnsi="Calibri"/>
          <w:color w:val="1A1A1A"/>
          <w:sz w:val="22"/>
        </w:rPr>
        <w:t>Inteligencia Visual-Espacial</w:t>
      </w:r>
    </w:p>
    <w:p/>
    <w:p>
      <w:pPr>
        <w:pStyle w:val="Heading2"/>
        <w:spacing w:before="160" w:after="80"/>
      </w:pPr>
      <w:r>
        <w:rPr>
          <w:rFonts w:ascii="Calibri" w:hAnsi="Calibri"/>
          <w:color w:val="1A3A6A"/>
          <w:sz w:val="28"/>
        </w:rPr>
        <w:t>Notas DUA del Docente</w:t>
      </w:r>
    </w:p>
    <w:p>
      <w:pPr>
        <w:spacing w:after="80"/>
      </w:pPr>
      <w:r>
        <w:rPr>
          <w:rFonts w:ascii="Calibri" w:hAnsi="Calibri"/>
          <w:b w:val="0"/>
          <w:i w:val="0"/>
          <w:color w:val="1A1A1A"/>
          <w:sz w:val="22"/>
        </w:rPr>
        <w:t>Estrategias DUA: Para el estudiante con TEA, anticipa las etapas de cada clase con un cronograma visual; en las exposiciones, permite grabar su presentación o exponer en un grupo pequeño para evitar la sobrecarga sensorial. Para los 2 estudiantes con TDAH, fragmenta la elaboración del resumen en pasos cortos con apoyo de mapas conceptuales y fomenta su participación activa dándoles el rol de 'canal' o 'emisor' dinámico al aprender los elementos de la comunicación. Para el estudiante con Dislexia, ofrece audiolibros como apoyo, usa fuentes accesibles (como OpenDyslexic) y permite emplear códigos de colores para identificar sustantivos y signos de puntuación, aceptando mapas mentales como alternativas de resumen. Para el estudiante de Alta Capacidad, propónle investigar códigos de comunicación complejos (como braille o morse) o liderar la estructuración creativa de las presentaciones del equipo.</w:t>
      </w:r>
    </w:p>
    <w:p>
      <w:pPr>
        <w:pStyle w:val="Heading2"/>
        <w:spacing w:before="160" w:after="80"/>
      </w:pPr>
      <w:r>
        <w:rPr>
          <w:rFonts w:ascii="Calibri" w:hAnsi="Calibri"/>
          <w:color w:val="1A3A6A"/>
          <w:sz w:val="28"/>
        </w:rPr>
        <w:t>Proyecto ABP — Resumen</w:t>
      </w:r>
    </w:p>
    <w:p>
      <w:pPr>
        <w:spacing w:after="80"/>
      </w:pPr>
      <w:r>
        <w:rPr>
          <w:rFonts w:ascii="Calibri" w:hAnsi="Calibri"/>
          <w:b w:val="0"/>
          <w:i/>
          <w:color w:val="1A1A1A"/>
          <w:sz w:val="22"/>
        </w:rPr>
        <w:t>Proyecto 'Feria de Creadores de Historias': Los estudiantes diseñarán una exposición interactiva sobre un tema libre de su elección (reto para la Alta Capacidad). Crearán un 'stand' donde pondrán en práctica los elementos de la comunicación con sus visitantes. Para acompañar su stand, elaborarán un folleto informativo que contenga un resumen narrativo de su tema, empleando correctamente diversas clases de sustantivos, los dos puntos y el punto y coma. El resumen podrá entregarse en formato escrito, infografía visual o podcast (opciones múltiples para Dislexia y TDAH). El día de la feria expondrán sus hallazgos, adaptando el entorno para que sea predecible y amigable a nivel sensorial (apoyo para TEA).</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