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rHeight w:val="567" w:hRule="exact"/>
        </w:trPr>
        <w:tc>
          <w:tcPr>
            <w:tcW w:type="dxa" w:w="5184"/>
            <w:shd w:val="clear" w:color="auto" w:fill="1A3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Fichas de Trabajo</w:t>
            </w:r>
          </w:p>
        </w:tc>
        <w:tc>
          <w:tcPr>
            <w:tcW w:type="dxa" w:w="3456"/>
            <w:shd w:val="clear" w:color="auto" w:fill="1A3A6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5233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aspalma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23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shd w:val="clear" w:color="auto" w:fill="1A3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5to  PRIMARIA</w:t>
            </w:r>
          </w:p>
        </w:tc>
      </w:tr>
      <w:tr>
        <w:trPr>
          <w:trHeight w:val="311" w:hRule="exact"/>
        </w:trPr>
        <w:tc>
          <w:tcPr>
            <w:tcW w:type="dxa" w:w="9648"/>
            <w:gridSpan w:val="3"/>
            <w:shd w:val="clear" w:color="auto" w:fill="1430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PLANIFICACIÓN CURRICULAR</w:t>
            </w:r>
          </w:p>
        </w:tc>
      </w:tr>
    </w:tbl>
    <w:p/>
    <w:p>
      <w:pPr>
        <w:jc w:val="center"/>
        <w:pBdr>
          <w:bottom w:val="single" w:sz="12" w:space="4" w:color="CC2200"/>
        </w:pBdr>
      </w:pPr>
      <w:r>
        <w:rPr>
          <w:rFonts w:ascii="Impact" w:hAnsi="Impact"/>
          <w:b/>
          <w:color w:val="CC2200"/>
          <w:sz w:val="40"/>
        </w:rPr>
        <w:t>UNIDAD 3: ¡A LA AVENTURA!</w:t>
      </w:r>
    </w:p>
    <w:p/>
    <w:p>
      <w:pPr>
        <w:pStyle w:val="Heading2"/>
        <w:spacing w:before="160" w:after="80"/>
      </w:pPr>
      <w:r>
        <w:rPr>
          <w:rFonts w:ascii="Calibri" w:hAnsi="Calibri"/>
          <w:color w:val="1A3A6A"/>
          <w:sz w:val="28"/>
        </w:rPr>
        <w:t>Perfil Neuro-Inclusivo del Aula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TEA (1), TDAH (2), Dislexia (1)</w:t>
      </w:r>
    </w:p>
    <w:p/>
    <w:p>
      <w:pPr>
        <w:pStyle w:val="Heading2"/>
        <w:spacing w:before="160" w:after="80"/>
      </w:pPr>
      <w:r>
        <w:rPr>
          <w:rFonts w:ascii="Calibri" w:hAnsi="Calibri"/>
          <w:color w:val="1A3A6A"/>
          <w:sz w:val="28"/>
        </w:rPr>
        <w:t>Temas de la Unidad</w:t>
      </w:r>
    </w:p>
    <w:p>
      <w:pPr>
        <w:pStyle w:val="Heading3"/>
        <w:spacing w:before="160" w:after="80"/>
      </w:pPr>
      <w:r>
        <w:rPr>
          <w:rFonts w:ascii="Calibri" w:hAnsi="Calibri"/>
          <w:color w:val="1B5E20"/>
          <w:sz w:val="24"/>
        </w:rPr>
        <w:t>Los dos puntos (:)</w:t>
      </w:r>
    </w:p>
    <w:p>
      <w:pPr>
        <w:spacing w:after="80"/>
      </w:pPr>
      <w:r>
        <w:rPr>
          <w:rFonts w:ascii="Calibri" w:hAnsi="Calibri"/>
          <w:b/>
          <w:i w:val="0"/>
          <w:color w:val="1A1A1A"/>
          <w:sz w:val="22"/>
        </w:rPr>
        <w:t>Conceptos Clave:</w:t>
      </w:r>
    </w:p>
    <w:p>
      <w:pPr>
        <w:pStyle w:val="ListBullet"/>
      </w:pPr>
      <w:r>
        <w:rPr>
          <w:rFonts w:ascii="Calibri" w:hAnsi="Calibri"/>
          <w:color w:val="1A3A6A"/>
          <w:sz w:val="22"/>
        </w:rPr>
        <w:t>Antes de lista</w:t>
      </w:r>
    </w:p>
    <w:p>
      <w:pPr>
        <w:pStyle w:val="ListBullet"/>
      </w:pPr>
      <w:r>
        <w:rPr>
          <w:rFonts w:ascii="Calibri" w:hAnsi="Calibri"/>
          <w:color w:val="1A3A6A"/>
          <w:sz w:val="22"/>
        </w:rPr>
        <w:t>Citas textuales</w:t>
      </w:r>
    </w:p>
    <w:p>
      <w:pPr>
        <w:pStyle w:val="ListBullet"/>
      </w:pPr>
      <w:r>
        <w:rPr>
          <w:rFonts w:ascii="Calibri" w:hAnsi="Calibri"/>
          <w:color w:val="1A3A6A"/>
          <w:sz w:val="22"/>
        </w:rPr>
        <w:t>Saludos formales</w:t>
      </w:r>
    </w:p>
    <w:p>
      <w:pPr>
        <w:spacing w:after="80"/>
      </w:pPr>
      <w:r>
        <w:rPr>
          <w:rFonts w:ascii="Calibri" w:hAnsi="Calibri"/>
          <w:b/>
          <w:i w:val="0"/>
          <w:color w:val="1A1A1A"/>
          <w:sz w:val="22"/>
        </w:rPr>
        <w:t>Inteligencias Múltiples:</w:t>
      </w:r>
    </w:p>
    <w:p>
      <w:pPr>
        <w:pStyle w:val="ListBullet"/>
      </w:pPr>
      <w:r>
        <w:rPr>
          <w:rFonts w:ascii="Calibri" w:hAnsi="Calibri"/>
          <w:color w:val="1A1A1A"/>
          <w:sz w:val="22"/>
        </w:rPr>
        <w:t>Lingüística</w:t>
      </w:r>
    </w:p>
    <w:p>
      <w:pPr>
        <w:pStyle w:val="ListBullet"/>
      </w:pPr>
      <w:r>
        <w:rPr>
          <w:rFonts w:ascii="Calibri" w:hAnsi="Calibri"/>
          <w:color w:val="1A1A1A"/>
          <w:sz w:val="22"/>
        </w:rPr>
        <w:t>Visual-espacial</w:t>
      </w:r>
    </w:p>
    <w:p/>
    <w:p>
      <w:pPr>
        <w:pStyle w:val="Heading2"/>
        <w:spacing w:before="160" w:after="80"/>
      </w:pPr>
      <w:r>
        <w:rPr>
          <w:rFonts w:ascii="Calibri" w:hAnsi="Calibri"/>
          <w:color w:val="1A3A6A"/>
          <w:sz w:val="28"/>
        </w:rPr>
        <w:t>Notas DUA del Docente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Para TDAH: fraccionar ejemplos. Para TEA: lenguaje literal.</w:t>
      </w:r>
    </w:p>
    <w:p>
      <w:pPr>
        <w:pStyle w:val="Heading2"/>
        <w:spacing w:before="160" w:after="80"/>
      </w:pPr>
      <w:r>
        <w:rPr>
          <w:rFonts w:ascii="Calibri" w:hAnsi="Calibri"/>
          <w:color w:val="1A3A6A"/>
          <w:sz w:val="28"/>
        </w:rPr>
        <w:t>Proyecto ABP — Resumen</w:t>
      </w:r>
    </w:p>
    <w:p>
      <w:pPr>
        <w:spacing w:after="80"/>
      </w:pPr>
      <w:r>
        <w:rPr>
          <w:rFonts w:ascii="Calibri" w:hAnsi="Calibri"/>
          <w:b w:val="0"/>
          <w:i/>
          <w:color w:val="1A1A1A"/>
          <w:sz w:val="22"/>
        </w:rPr>
        <w:t>Periódico del aula con reglas ortográficas.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