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Plan &amp; Report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114300</wp:posOffset>
                </wp:positionV>
                <wp:extent cx="12700" cy="450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57860"/>
                          <a:ext cx="0" cy="442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114300</wp:posOffset>
                </wp:positionV>
                <wp:extent cx="12700" cy="450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SmartTick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996.9502258300781" w:right="946.864013671875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June 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ystem Test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cenarios: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1.1: As a user I want to be able to see information about a particular stock.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1.2: As a user I want a table that shows recent politicians’ trades so I can see all the relevant trading information in one place.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2.1: As a user I want to see analysis of a stock so I can make more accurate assessments of a stock’s value and make better trading decisions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2.2: As a user I want to see which politicians recently traded a particular stock.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3.1: As a user I want to be able to see more information about the company when I click on their stock so that I can decide if I want to invest in this stock.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3.2: As a user I want to see a graph feed of a stock when I click on it so I can better judge its performance.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3.3: As a user I want to be able to click on a politicians’ face and see a page displaying their profile.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3.4: As a user I want to be able to filter tables by criteria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Story 4.1: As a user I want to see a leaderboard of most frequent spending and most frequent trading politicians.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Scenario 1: Table for recent politician trades (Pass)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Start SmartTick web app; user lands on the “Home” page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should see and be able to interact with the recent trades table 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Scenario 2: Filtering (Pass)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any of the header filter icons to choose filtering options in the recent trades table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on the metric leaderboards’ metric filtering option to filter by desired metric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Scenario 3: Home View Leaderboards (Pass)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scroll down in “Home” view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should see and be able to interact with two leaderboards, one for stocks and one for politicians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Scenario 4: Displaying politician profile (Pass)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In “Home” view, user should see the name and picture of politicians in the recent trades table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on either the name or picture of the politician that then takes you to “Congress” view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should see relevant information about a politician 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Scenario 5: Stock information (Pass)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Start SmartTick web app; select “Stock” view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should see a search bar for stock/ticker input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rPr>
          <w:rFonts w:ascii="Helvetica Neue" w:cs="Helvetica Neue" w:eastAsia="Helvetica Neue" w:hAnsi="Helvetica Neue"/>
          <w:b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input a stock/ticker symbol and press enter to see information about that stock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b w:val="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After pressing enter, user should see the stock profile with some relevant information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b w:val="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In this “Stock” view, use should see an “accordion” based UI with a list of headers stacked on top of each other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b w:val="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on the “Historical Price Chart” header for a graph feed of the stock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b w:val="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on the “Technical &amp; Sentiment Analysis” header for a deeper analysis of the searched stock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b w:val="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on the “Recent Politician Trades” or “Politician Monthly Trade Summary” to see what politicians have recently traded that particular stock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b w:val="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rtl w:val="0"/>
        </w:rPr>
        <w:t xml:space="preserve">User can click on the “Financial Information Summary” to see additional information of the searched stock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Relevant Directories: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/backend/tests/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/frontend/src/tests/integration/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frontend/src/tests/unit</w:t>
      </w:r>
    </w:p>
    <w:sectPr>
      <w:headerReference r:id="rId7" w:type="default"/>
      <w:pgSz w:h="15840" w:w="12240" w:orient="portrait"/>
      <w:pgMar w:bottom="1134" w:top="1691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Test Plan and Report, SmartTick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)"/>
      <w:lvlJc w:val="left"/>
      <w:pPr>
        <w:ind w:left="1080" w:hanging="360"/>
      </w:pPr>
      <w:rPr/>
    </w:lvl>
    <w:lvl w:ilvl="2">
      <w:start w:val="1"/>
      <w:numFmt w:val="upperLetter"/>
      <w:lvlText w:val="%3)"/>
      <w:lvlJc w:val="left"/>
      <w:pPr>
        <w:ind w:left="1440" w:hanging="360"/>
      </w:pPr>
      <w:rPr/>
    </w:lvl>
    <w:lvl w:ilvl="3">
      <w:start w:val="1"/>
      <w:numFmt w:val="upperLetter"/>
      <w:lvlText w:val="%4)"/>
      <w:lvlJc w:val="left"/>
      <w:pPr>
        <w:ind w:left="1800" w:hanging="360"/>
      </w:pPr>
      <w:rPr/>
    </w:lvl>
    <w:lvl w:ilvl="4">
      <w:start w:val="1"/>
      <w:numFmt w:val="upperLetter"/>
      <w:lvlText w:val="%5)"/>
      <w:lvlJc w:val="left"/>
      <w:pPr>
        <w:ind w:left="2160" w:hanging="360"/>
      </w:pPr>
      <w:rPr/>
    </w:lvl>
    <w:lvl w:ilvl="5">
      <w:start w:val="1"/>
      <w:numFmt w:val="upperLetter"/>
      <w:lvlText w:val="%6)"/>
      <w:lvlJc w:val="left"/>
      <w:pPr>
        <w:ind w:left="2520" w:hanging="360"/>
      </w:pPr>
      <w:rPr/>
    </w:lvl>
    <w:lvl w:ilvl="6">
      <w:start w:val="1"/>
      <w:numFmt w:val="upperLetter"/>
      <w:lvlText w:val="%7)"/>
      <w:lvlJc w:val="left"/>
      <w:pPr>
        <w:ind w:left="2880" w:hanging="360"/>
      </w:pPr>
      <w:rPr/>
    </w:lvl>
    <w:lvl w:ilvl="7">
      <w:start w:val="1"/>
      <w:numFmt w:val="upperLetter"/>
      <w:lvlText w:val="%8)"/>
      <w:lvlJc w:val="left"/>
      <w:pPr>
        <w:ind w:left="3240" w:hanging="360"/>
      </w:pPr>
      <w:rPr/>
    </w:lvl>
    <w:lvl w:ilvl="8">
      <w:start w:val="1"/>
      <w:numFmt w:val="upperLetter"/>
      <w:lvlText w:val="%9)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