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ЗЕМЕЛЬНЫЙ БЛОК · СВЕРДЛОВСКАЯ ОБЛАСТЬ</w:t>
      </w:r>
    </w:p>
    <w:p>
      <w:pPr>
        <w:spacing w:after="20" w:before="0" w:line="252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Турнир «Кубок инвестора» · Университет имени О.Е. Кутафина (МГЮА)</w:t>
      </w:r>
    </w:p>
    <w:p>
      <w:pPr>
        <w:spacing w:after="100" w:before="0" w:line="252"/>
        <w:jc w:val="center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Производственно-логистический комплекс гражданских БАС: участок 12–15 га · 45 000 кв. м · 8 МВт · 5 млн куб. м газа/год · 4,5 млрд руб. · запуск через 24 месяца · II категория НВОС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Резюме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5"/>
        <w:gridCol w:w="5238"/>
        <w:gridCol w:w="1871"/>
      </w:tblGrid>
      <w:tr>
        <w:trPr>
          <w:tblHeader/>
        </w:trPr>
        <w:tc>
          <w:tcPr>
            <w:tcW w:type="dxa" w:w="22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Обязательный элемент ТЗ</w:t>
            </w:r>
          </w:p>
        </w:tc>
        <w:tc>
          <w:tcPr>
            <w:tcW w:type="dxa" w:w="523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Решение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Кадастровый номер участка</w:t>
            </w:r>
          </w:p>
        </w:tc>
        <w:tc>
          <w:tcPr>
            <w:tcW w:type="dxa" w:w="523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Не определён: Публичная кадастровая карта (теперь в НСПД), Инвесткарта РФ и ГИСП из рабочей среды недоступны. Дан алгоритм отбора и паспорт участка для заполнения — разд. 1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заполнить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Категория земель</w:t>
            </w:r>
          </w:p>
        </w:tc>
        <w:tc>
          <w:tcPr>
            <w:tcW w:type="dxa" w:w="523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Земли промышленности, энергетики, транспорта… (пп. 7 п. 1 ст. 7, ст. 87, 88 ЗК РФ). Допустимо: земли населённых пунктов в производственной зоне ПЗЗ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Разрешённое использование</w:t>
            </w:r>
          </w:p>
        </w:tc>
        <w:tc>
          <w:tcPr>
            <w:tcW w:type="dxa" w:w="523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6.2 «Тяжёлая промышленность» (описание включает авиастроение и СЗЗ) + 6.9 «Склад» — Приказ Росреестра от 10.11.2020 № П/0412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Основание аренды без торгов</w:t>
            </w:r>
          </w:p>
        </w:tc>
        <w:tc>
          <w:tcPr>
            <w:tcW w:type="dxa" w:w="523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пп. 3 п. 2 ст. 39.6 ЗК РФ → ст. 30 Закона Свердловской области от 07.07.2004 № 18-ОЗ → Постановление Правительства Свердловской области от 08.07.2016 № 484-ПП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Соответствие критериям МИП</w:t>
            </w:r>
          </w:p>
        </w:tc>
        <w:tc>
          <w:tcPr>
            <w:tcW w:type="dxa" w:w="523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4,5 млрд руб. инвестиций при порогах ст. 30 в сотни млн руб.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готово; цифры порогов сверить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Кто принимает решение</w:t>
            </w:r>
          </w:p>
        </w:tc>
        <w:tc>
          <w:tcPr>
            <w:tcW w:type="dxa" w:w="523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Правительственная комиссия Свердловской области → распоряжение Губернатора → договор с МУГИСО или органом МСУ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готово; орган уточнить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Срок до договора аренды</w:t>
            </w:r>
          </w:p>
        </w:tc>
        <w:tc>
          <w:tcPr>
            <w:tcW w:type="dxa" w:w="523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3–5 мес. для сформированного участка; 9–15 мес., если участок нужно образовать или перевести в другую категорию</w:t>
            </w:r>
          </w:p>
        </w:tc>
        <w:tc>
          <w:tcPr>
            <w:tcW w:type="dxa" w:w="187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оценка</w:t>
            </w:r>
          </w:p>
        </w:tc>
      </w:tr>
    </w:tbl>
    <w:p>
      <w:pPr>
        <w:spacing w:after="80"/>
      </w:pPr>
    </w:p>
    <w:p>
      <w:pPr>
        <w:keepNext/>
        <w:spacing w:after="4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Ключевые тезисы для защиты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ЗК РФ сам не содержит критериев масштабного инвестпроекта — он отсылает к закону субъекта. В Свердловской области это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ст. 30 Закона № 18-ОЗ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порядок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ПП СО № 484-ПП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Механизм применяется с 2016 года; состав комиссии обновлён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ПП СО от 16.07.2025 № 386-ПП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то есть механизм действующий.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Проект превышает инвестиционный порог ст. 30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более чем в 10 раз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(по данным инвестпорталов) — риск формального отказа по критериям минимален.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Выбран ВРИ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6.2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: его описание прямо называет авиастроение и санитарно-защитную зону. ВРИ совпадает с целью, указанной в заявлении, — закрыто основание для отказа по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п. 14 ст. 39.16 ЗК РФ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Участок ищем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в городском округе рядом с Екатеринбургом, но вне города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: СЗЗ объекта II категории не упирается в жильё, а пороги ст. 30 для городского округа, по данным инвестпорталов, ниже, чем для Екатеринбурга.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Только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государственная или муниципальная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земля: к частным участкам, в том числе в частных индустриальных парках, ст. 39.6 ЗК РФ не применяется.</w:t>
      </w:r>
    </w:p>
    <w:p>
      <w:pPr>
        <w:spacing w:after="6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8F00" w:sz="8"/>
              <w:left w:val="single" w:color="BF8F00" w:sz="8"/>
              <w:bottom w:val="single" w:color="BF8F00" w:sz="8"/>
              <w:right w:val="single" w:color="BF8F00" w:sz="8"/>
            </w:tcBorders>
            <w:shd w:fill="FFF2C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3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Ограничения работы.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Сетевая политика рабочей среды закрыла доступ к nspd.gov.ru / pkk.rosreestr.ru, invest.economy.gov.ru, ГИСП, сайтам Правительства Свердловской области и правовым базам. Поэтому (1) кадастровый номер не подобран — подставлять непроверенный номер мы не стали; (2) тексты ст. 30 Закона № 18-ОЗ и ПП СО № 484-ПП прочитать целиком не удалось: реквизиты актов подтверждены по официальным сайтам через поисковую выдачу,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числовые пороги и сроки комиссии нужно сверить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с действующей редакцией. Подробно — разд. 6.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1. Земельный участок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1.1. Требования ТЗ → фильтры отбора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6548"/>
      </w:tblGrid>
      <w:tr>
        <w:trPr>
          <w:tblHeader/>
        </w:trPr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ТЗ</w:t>
            </w:r>
          </w:p>
        </w:tc>
        <w:tc>
          <w:tcPr>
            <w:tcW w:type="dxa" w:w="654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Фильтр для участка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Площадь 12–15 га</w:t>
            </w:r>
          </w:p>
        </w:tc>
        <w:tc>
          <w:tcPr>
            <w:tcW w:type="dxa" w:w="654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Единый контур, поставлен на кадастровый учёт, статус записи ЕГРН — «актуальная»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II категория НВОС</w:t>
            </w:r>
          </w:p>
        </w:tc>
        <w:tc>
          <w:tcPr>
            <w:tcW w:type="dxa" w:w="654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Есть место под санитарно-защитную зону без жилой застройки (СанПиН 2.2.1/2.1.1.1200-03) — участок вне жилых районов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 МВт, 5 млн куб. м газа/год</w:t>
            </w:r>
          </w:p>
        </w:tc>
        <w:tc>
          <w:tcPr>
            <w:tcW w:type="dxa" w:w="654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Центр питания 110/35 кВ и ГРС со свободной мощностью в зоне подключения (детали — в блоке «Сроки и сети»)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Запуск через 24 месяца</w:t>
            </w:r>
          </w:p>
        </w:tc>
        <w:tc>
          <w:tcPr>
            <w:tcW w:type="dxa" w:w="654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 уже сформирован; категория и ВРИ не требуют изменения. Иначе +6–12 мес. на образование участка и перевод категории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Аренда без торгов</w:t>
            </w:r>
          </w:p>
        </w:tc>
        <w:tc>
          <w:tcPr>
            <w:tcW w:type="dxa" w:w="654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Собственность Свердловской области, муниципальная или неразграниченная; нет зданий и прав третьих лиц (ст. 39.16 ЗК РФ)</w:t>
            </w:r>
          </w:p>
        </w:tc>
      </w:tr>
    </w:tbl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1.2. Где искать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Рекомендуемая зона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— greenfield-участки в городских округах вокруг Екатеринбурга с выходом на ЕКАД и магистральные сети: Берёзовский, Верхняя Пышма, Сысертский, Белоярский, Арамильский городские округа. Такое размещение даёт транспортную связность с аэроузлом и кадрами Екатеринбурга, позволяет разместить СЗЗ и, по данным инвестпорталов, попасть под более низкие пороги ст. 30 Закона № 18-ОЗ, чем для Екатеринбурга.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Исключаем: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участки в частных индустриальных парках — к ним не применяется ст. 39.6 ЗК РФ; земли сельскохозяйственного назначения — перевод по Федеральному закону от 21.12.2004 № 172-ФЗ съедает несколько месяцев из 24 и несёт риск отказа; площадки ОЭЗ — там действует другая правовая схема (резидентство), см. разд. 5.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1.3. Как найти и проверить участок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Публичная кадастровая карта перенесена в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Национальную систему пространственных данных (НСПД)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: nspd.gov.ru/map?thematic=PKK. Адрес pkk.rosreestr.ru, указанный в ТЗ, больше не основной — на защите стоит сказать, что работа велась с актуальным сервисом Росреестра.</w:t>
      </w:r>
    </w:p>
    <w:p>
      <w:pPr>
        <w:pStyle w:val="ListParagraph"/>
        <w:numPr>
          <w:ilvl w:val="0"/>
          <w:numId w:val="3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Инвестиционная карта РФ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(invest.economy.gov.ru) и портал Агентства по привлечению инвестиций Свердловской области (invest-in-ural.ru) → инвестплощадки Свердловской области: greenfield, 12–15 га, государственная или муниципальная собственность.</w:t>
      </w:r>
    </w:p>
    <w:p>
      <w:pPr>
        <w:pStyle w:val="ListParagraph"/>
        <w:numPr>
          <w:ilvl w:val="0"/>
          <w:numId w:val="3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НСПД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→ слой «Земельные участки» → карточка: кадастровый номер, площадь, категория, ВРИ, форма собственности, кадастровая стоимость, статус записи.</w:t>
      </w:r>
    </w:p>
    <w:p>
      <w:pPr>
        <w:pStyle w:val="ListParagraph"/>
        <w:numPr>
          <w:ilvl w:val="0"/>
          <w:numId w:val="3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НСПД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→ слой ЗОУИТ: приаэродромные территории, охранные зоны сетей, водоохранные зоны, СЗЗ соседних предприятий.</w:t>
      </w:r>
    </w:p>
    <w:p>
      <w:pPr>
        <w:pStyle w:val="ListParagraph"/>
        <w:numPr>
          <w:ilvl w:val="0"/>
          <w:numId w:val="3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ПЗЗ муниципалитета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: входят ли 6.2 и 6.9 в основные виды разрешённого использования территориальной зоны (ч. 4 ст. 37 ГрК РФ).</w:t>
      </w:r>
    </w:p>
    <w:p>
      <w:pPr>
        <w:pStyle w:val="ListParagraph"/>
        <w:numPr>
          <w:ilvl w:val="0"/>
          <w:numId w:val="3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Выписка из ЕГРН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(Росреестр, Госуслуги): нет ли зарегистрированных прав третьих лиц и обременений.</w:t>
      </w:r>
    </w:p>
    <w:p>
      <w:pPr>
        <w:pStyle w:val="ListParagraph"/>
        <w:numPr>
          <w:ilvl w:val="0"/>
          <w:numId w:val="3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ГИСП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: не входит ли участок в индустриальный парк или технопарк — тогда участок предоставляется по правилам парка, а не по схеме МИП.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1.4. Паспорт участка (для слайда)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2"/>
        <w:gridCol w:w="2806"/>
        <w:gridCol w:w="4116"/>
      </w:tblGrid>
      <w:tr>
        <w:trPr>
          <w:tblHeader/>
        </w:trPr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411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/ источник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Кадастровый номер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66:__:_______:___</w:t>
            </w:r>
          </w:p>
        </w:tc>
        <w:tc>
          <w:tcPr>
            <w:tcW w:type="dxa" w:w="411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НСПД, скриншот контура — на слайд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Местоположение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411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городской округ вне Екатеринбурга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Площадь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 га</w:t>
            </w:r>
          </w:p>
        </w:tc>
        <w:tc>
          <w:tcPr>
            <w:tcW w:type="dxa" w:w="411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12–15 га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Категория земель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411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земли промышленности… (ст. 88 ЗК РФ)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ВРИ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411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6.2 + 6.9; в основных видах зоны по ПЗЗ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 собственности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411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 / муниципальная / неразграниченная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Уполномоченный орган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411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МУГИСО или администрация ГО (ст. 39.2 ЗК РФ)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Кадастровая стоимость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 руб.</w:t>
            </w:r>
          </w:p>
        </w:tc>
        <w:tc>
          <w:tcPr>
            <w:tcW w:type="dxa" w:w="411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для арендной платы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ЗОУИТ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411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НСПД, слой ЗОУИТ</w:t>
            </w:r>
          </w:p>
        </w:tc>
      </w:tr>
    </w:tbl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 Категория земель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Целевая категория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— земли промышленности, энергетики, транспорта, связи, радиовещания, телевидения, информатики, земли для обеспечения космической деятельности, земли обороны, безопасности и земли иного специального назначения (пп. 7 п. 1 ст. 7, ст. 87 ЗК РФ). Правовой режим земель промышленности —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ст. 88 ЗК РФ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: они предоставляются для размещения производственных объектов, в том числе с санитарно-защитными зонами.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Допустимая альтернатива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— земли населённых пунктов (ст. 83, 85 ЗК РФ), если по ПЗЗ участок отнесён к производственной территориальной зоне. Но СЗЗ внутри населённого пункта труднее разместить, поэтому вариант второй.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Неприемлемо для графика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— земли сельскохозяйственного назначения: перевод по Федеральному закону от 21.12.2004 № 172-ФЗ «О переводе земель или земельных участков из одной категории в другую» требует отдельной процедуры и несёт риск отказа.</w:t>
      </w:r>
    </w:p>
    <w:p>
      <w:pPr>
        <w:spacing w:after="80" w:before="4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Категория обязательно указывается в договоре аренды государственного или муниципального участка (ст. 39.8 ЗК РФ), поэтому её проверяем до подачи заявления.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 Вид разрешённого использования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Классификатор видов разрешённого использования утверждён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Приказом Росреестра от 10.11.2020 № П/0412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(зарегистрирован Минюстом России 15.12.2020, № 61482).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2432"/>
        <w:gridCol w:w="5987"/>
      </w:tblGrid>
      <w:tr>
        <w:trPr>
          <w:tblHeader/>
        </w:trPr>
        <w:tc>
          <w:tcPr>
            <w:tcW w:type="dxa" w:w="93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598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Зачем проекту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6.2</w:t>
            </w:r>
          </w:p>
        </w:tc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Тяжёлая промышленность</w:t>
            </w:r>
          </w:p>
        </w:tc>
        <w:tc>
          <w:tcPr>
            <w:tcW w:type="dxa" w:w="598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Основной.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Описание кода включает «изготовление и ремонт продукции … авиастроения» и предприятия, для которых устанавливаются охранные или санитарно-защитные зоны. БАС — продукция авиастроения; объект II категории НВОС требует СЗЗ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6.9</w:t>
            </w:r>
          </w:p>
        </w:tc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</w:t>
            </w:r>
          </w:p>
        </w:tc>
        <w:tc>
          <w:tcPr>
            <w:tcW w:type="dxa" w:w="598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 класса «А» в составе комплекса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3.1.1</w:t>
            </w:r>
          </w:p>
        </w:tc>
        <w:tc>
          <w:tcPr>
            <w:tcW w:type="dxa" w:w="2432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Предоставление коммунальных услуг</w:t>
            </w:r>
          </w:p>
        </w:tc>
        <w:tc>
          <w:tcPr>
            <w:tcW w:type="dxa" w:w="5987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Собственные ТП, ГРПШ, очистные — если размещаются на участке (формулировку сверить)</w:t>
            </w:r>
          </w:p>
        </w:tc>
      </w:tr>
    </w:tbl>
    <w:p>
      <w:pPr>
        <w:spacing w:after="40"/>
      </w:pP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Почему конкретный код 6.2, а не групповой 6.0 «Производственная деятельность».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ВРИ должен однозначно совпадать с целью использования, указанной в заявлении о предоставлении участка, иначе уполномоченный орган откажет по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п. 14 ст. 39.16 ЗК РФ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. Описание 6.2 называет именно авиастроение и именно СЗЗ, поэтому вопрос о соответствии ВРИ фактическому использованию не возникает.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Проверка по ПЗЗ.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Правообладатель выбирает основной ВРИ самостоятельно, но только из перечня основных видов своей территориальной зоны (ч. 4 ст. 37 ГрК РФ). Если 6.2 там нет — нужен условно разрешённый вид с общественными обсуждениями (ст. 39 ГрК РФ) или изменение ПЗЗ, а это дополнительные 2–3 месяца. Поэтому соответствие ПЗЗ — фильтр отбора участка.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 Юридическое обоснование аренды без торгов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4.1. Правовая конструкция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Общее правило: договор аренды государственного или муниципального участка заключается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на торгах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(п. 1 ст. 39.6 ЗК РФ). Исключение для масштабных инвестпроектов установлено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пп. 3 п. 2 ст. 39.6 ЗК РФ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: без торгов предоставляется участок «юридическим лицам в соответствии с распоряжением высшего должностного лица субъекта Российской Федерации для размещения объектов социально-культурного и коммунально-бытового назначения, реализации масштабных инвестиционных проектов при условии соответствия указанных объектов, инвестиционных проектов критериям, установленным законами субъектов Российской Федерации».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Норма ЗК РФ отсылочная: без закона субъекта она не работает. Для Свердловской области конструкция трёхуровневая: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0"/>
        <w:gridCol w:w="4303"/>
        <w:gridCol w:w="3461"/>
      </w:tblGrid>
      <w:tr>
        <w:trPr>
          <w:tblHeader/>
        </w:trPr>
        <w:tc>
          <w:tcPr>
            <w:tcW w:type="dxa" w:w="15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4303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Акт</w:t>
            </w:r>
          </w:p>
        </w:tc>
        <w:tc>
          <w:tcPr>
            <w:tcW w:type="dxa" w:w="346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регулирует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Федеральный</w:t>
            </w:r>
          </w:p>
        </w:tc>
        <w:tc>
          <w:tcPr>
            <w:tcW w:type="dxa" w:w="4303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Земельный кодекс РФ, пп. 3 п. 2 ст. 39.6</w:t>
            </w:r>
          </w:p>
        </w:tc>
        <w:tc>
          <w:tcPr>
            <w:tcW w:type="dxa" w:w="346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Исключение из торгов: аренда юрлицу по распоряжению высшего должностного лица субъекта под МИП при соответствии критериям закона субъекта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Региональный: критерии</w:t>
            </w:r>
          </w:p>
        </w:tc>
        <w:tc>
          <w:tcPr>
            <w:tcW w:type="dxa" w:w="4303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Закон Свердловской области от 07.07.2004 № 18-ОЗ «Об особенностях регулирования земельных отношений на территории Свердловской области»,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ст. 30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(изменения — в т.ч. Закон СО от 03.11.2017 № 116-ОЗ)</w:t>
            </w:r>
          </w:p>
        </w:tc>
        <w:tc>
          <w:tcPr>
            <w:tcW w:type="dxa" w:w="346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Критерии, которым должен соответствовать масштабный инвестиционный проект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Региональный: порядок</w:t>
            </w:r>
          </w:p>
        </w:tc>
        <w:tc>
          <w:tcPr>
            <w:tcW w:type="dxa" w:w="4303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Постановление Правительства Свердловской области от 08.07.2016 №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484-ПП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«О реализации статьи 30 Закона Свердловской области от 7 июля 2004 года № 18-ОЗ…»</w:t>
            </w:r>
          </w:p>
        </w:tc>
        <w:tc>
          <w:tcPr>
            <w:tcW w:type="dxa" w:w="346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Порядок рассмотрения заявлений; Правительственная комиссия Свердловской области по оценке соответствия проекта критериям п. 1 и 2 ст. 30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Актуальность</w:t>
            </w:r>
          </w:p>
        </w:tc>
        <w:tc>
          <w:tcPr>
            <w:tcW w:type="dxa" w:w="4303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Постановление Правительства Свердловской области от 16.07.2025 №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386-ПП</w:t>
            </w:r>
          </w:p>
        </w:tc>
        <w:tc>
          <w:tcPr>
            <w:tcW w:type="dxa" w:w="3461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Изменение состава Правительственной комиссии — механизм применяется в 2025 году</w:t>
            </w:r>
          </w:p>
        </w:tc>
      </w:tr>
    </w:tbl>
    <w:p>
      <w:pPr>
        <w:spacing w:after="40"/>
      </w:pP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Почему не федеральный уровень.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Пп. 2 п. 2 ст. 39.6 ЗК РФ и критерии Постановления Правительства РФ от 29.12.2014 № 1603 относятся к участкам в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федеральной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собственности. Наш участок — областной или муниципальный, поэтому критерии задаёт Свердловская область.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4.2. Соответствие проекта критериям ст. 30 Закона № 18-ОЗ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4490"/>
        <w:gridCol w:w="2806"/>
      </w:tblGrid>
      <w:tr>
        <w:trPr>
          <w:tblHeader/>
        </w:trPr>
        <w:tc>
          <w:tcPr>
            <w:tcW w:type="dxa" w:w="205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44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Порог (по данным инвестпорталов; сверить с текстом ст. 30)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Проект</w:t>
            </w:r>
          </w:p>
        </w:tc>
      </w:tr>
      <w:tr>
        <w:trPr>
          <w:cantSplit/>
        </w:trPr>
        <w:tc>
          <w:tcPr>
            <w:tcW w:type="dxa" w:w="205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Объём капитальных вложений</w:t>
            </w:r>
          </w:p>
        </w:tc>
        <w:tc>
          <w:tcPr>
            <w:tcW w:type="dxa" w:w="44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Межселенная территория / городской округ (кроме Екатеринбурга) — не менее 200 млн руб.; Екатеринбург — не менее 400 млн руб.; поселение в составе муниципального района — ниже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4 500 млн руб.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более чем в 10 раз выше максимального порога</w:t>
            </w:r>
          </w:p>
        </w:tc>
      </w:tr>
      <w:tr>
        <w:trPr>
          <w:cantSplit/>
        </w:trPr>
        <w:tc>
          <w:tcPr>
            <w:tcW w:type="dxa" w:w="205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Создаваемые рабочие места</w:t>
            </w:r>
          </w:p>
        </w:tc>
        <w:tc>
          <w:tcPr>
            <w:tcW w:type="dxa" w:w="449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Поселение в составе муниципального района — не менее 50; межселенная территория / городской округ — не менее 100; Екатеринбург — не менее 200</w:t>
            </w:r>
          </w:p>
        </w:tc>
        <w:tc>
          <w:tcPr>
            <w:tcW w:type="dxa" w:w="280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бизнес-плану; для городского округа нужно не менее 100</w:t>
            </w:r>
          </w:p>
        </w:tc>
      </w:tr>
    </w:tbl>
    <w:p>
      <w:pPr>
        <w:spacing w:after="40"/>
      </w:pP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Применяются ли критерии одновременно или альтернативно, а также есть ли в ст. 30 иные критерии для производственных проектов, нужно проверить по тексту статьи. При любом прочтении инвестиционный критерий выполняется с большим запасом, а размещение в городском округе вне Екатеринбурга, если цифры подтвердятся, вдвое снижает требование по рабочим местам.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4.3. Процедура и сроки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4396"/>
        <w:gridCol w:w="2526"/>
        <w:gridCol w:w="1964"/>
      </w:tblGrid>
      <w:tr>
        <w:trPr>
          <w:tblHeader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Шаг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Подбор и проверка участка: НСПД, ЕГРН, ПЗЗ, ЗОУИТ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ст. 39.16 ЗК РФ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2–3 недели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Если участок не образован: схема расположения или проект межевания; предварительное согласование предоставления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ст. 11.10, 39.15 ЗК РФ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 20 дней; до 35 дней при согласовании схемы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Заявление о признании проекта масштабным: бизнес-план, подтверждение инвестиций и рабочих мест, сведения об участке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ст. 30 Закона № 18-ОЗ; ПП СО № 484-ПП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Оценка Правительственной комиссией Свердловской области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ПП СО № 484-ПП (в ред. ПП СО № 386-ПП)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по 484-ПП (сверить)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Распоряжение Губернатора Свердловской области о предоставлении участка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пп. 3 п. 2 ст. 39.6 ЗК РФ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сверить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Заявление о предоставлении участка без торгов в уполномоченный орган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ст. 39.14, 39.17 ЗК РФ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возврат несоответствующего заявления — 10 дней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</w:t>
            </w:r>
          </w:p>
        </w:tc>
        <w:tc>
          <w:tcPr>
            <w:tcW w:type="dxa" w:w="439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Договор аренды и его государственная регистрация</w:t>
            </w:r>
          </w:p>
        </w:tc>
        <w:tc>
          <w:tcPr>
            <w:tcW w:type="dxa" w:w="252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ст. 39.8 ЗК РФ; Федеральный закон № 218-ФЗ</w:t>
            </w:r>
          </w:p>
        </w:tc>
        <w:tc>
          <w:tcPr>
            <w:tcW w:type="dxa" w:w="1964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Уполномоченный орган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определяется по принадлежности участка (ст. 39.2 ЗК РФ): участки в собственности Свердловской области и неразграниченные участки в Екатеринбурге предоставляет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МУГИСО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; муниципальные и неразграниченные участки за пределами Екатеринбурга — </w:t>
      </w: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органы местного самоуправления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. Сохраняется ли у МУГИСО полномочие по Екатеринбургу после 2024 года — сверить.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Итог по сроку: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сформированный участок с подходящими категорией и ВРИ — 3–5 месяцев до договора аренды; участок, который нужно образовать, — 9–15 месяцев. Строительство 45 000 кв. м занимает бо́льшую часть 24 месяцев ТЗ, поэтому берём только сформированный участок.</w:t>
      </w:r>
    </w:p>
    <w:p>
      <w:pPr>
        <w:pStyle w:val="Heading2"/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color w:val="1F3864"/>
          <w:sz w:val="23"/>
          <w:szCs w:val="23"/>
        </w:rPr>
        <w:t xml:space="preserve">4.4. Условия договора аренды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Срок: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для строительства зданий и сооружений — от 3 до 10 лет (пп. 1 п. 8 ст. 39.8 ЗК РФ). Запрашиваем срок, покрывающий строительство, ввод и выход на проектную мощность.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Обязательные условия: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категория земель и вид (виды) разрешённого использования участка (ст. 39.8 ЗК РФ).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Арендная плата: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по порядку, установленному Правительством Свердловской области, от кадастровой стоимости участка (реквизиты порядка — сверить).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Ожидаемые обязательства арендатора: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целевое использование, объём инвестиций и сроки реализации проекта. Ограничения на передачу прав и выкуп до завершения проекта — сверить по ПП СО № 484-ПП и проекту договора.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5. Резервная схема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Резидентство ОЭЗ ППТ «Титановая долина»</w:t>
      </w:r>
      <w:r>
        <w:rPr>
          <w:rFonts w:ascii="Times New Roman" w:cs="Times New Roman" w:eastAsia="Times New Roman" w:hAnsi="Times New Roman"/>
          <w:sz w:val="23"/>
          <w:szCs w:val="23"/>
        </w:rPr>
        <w:t xml:space="preserve"> (создана Постановлением Правительства РФ от 16.12.2010 № 1032; Федеральный закон от 22.07.2005 № 116-ФЗ «Об особых экономических зонах в Российской Федерации»). Площадка «Уктус» расположена на территории бывшего аэродрома, что полезно для заводских лётных испытаний БАС. Это иная правовая схема — земля предоставляется резиденту ОЭЗ, а не по процедуре МИП, — поэтому она используется, только если комиссия откажет в признании проекта масштабным. Крайний вариант — аукцион (ст. 39.11–39.13 ЗК РФ): плюс 2–4 месяца и ценовой риск.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6. Ограничения и что проверить до защиты</w:t>
      </w:r>
    </w:p>
    <w:p>
      <w:pPr>
        <w:spacing w:after="80" w:before="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Рабочая среда, в которой готовился блок, не имела доступа к nspd.gov.ru и pkk.rosreestr.ru, invest.economy.gov.ru, ГИСП, midural.ru, mir.midural.ru, invest-in-ural.ru, pravo.gov66.ru, consultant.ru, garant.ru. Реквизиты актов в разд. 4 подтверждены через поисковую выдачу со ссылкой на официальные сайты (Министерство инвестиций и развития Свердловской области, правовые базы). Через выдачу нашлись отдельные кадастровые номера промышленных участков, но ни один не подходит: площадь 1–7 га или 93 га либо частная собственность. Поэтому участок не подставлен.</w:t>
      </w:r>
    </w:p>
    <w:p>
      <w:pPr>
        <w:keepNext/>
        <w:spacing w:after="40" w:before="0" w:line="252"/>
        <w:jc w:val="both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Чек-лист (около 30 минут):</w:t>
      </w:r>
    </w:p>
    <w:p>
      <w:pPr>
        <w:pStyle w:val="ListParagraph"/>
        <w:numPr>
          <w:ilvl w:val="0"/>
          <w:numId w:val="4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Выбрать участок по алгоритму разд. 1.3 и заполнить паспорт разд. 1.4; скриншот НСПД — на слайд.</w:t>
      </w:r>
    </w:p>
    <w:p>
      <w:pPr>
        <w:pStyle w:val="ListParagraph"/>
        <w:numPr>
          <w:ilvl w:val="0"/>
          <w:numId w:val="4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Открыть ст. 30 Закона СО № 18-ОЗ в действующей редакции: точные пороги, сочетание критериев, дата последней редакции.</w:t>
      </w:r>
    </w:p>
    <w:p>
      <w:pPr>
        <w:pStyle w:val="ListParagraph"/>
        <w:numPr>
          <w:ilvl w:val="0"/>
          <w:numId w:val="4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Открыть ПП СО № 484-ПП: перечень документов заявителя, сроки работы комиссии и издания распоряжения.</w:t>
      </w:r>
    </w:p>
    <w:p>
      <w:pPr>
        <w:pStyle w:val="ListParagraph"/>
        <w:numPr>
          <w:ilvl w:val="0"/>
          <w:numId w:val="4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Проверить ПЗЗ выбранного округа: 6.2 и 6.9 в основных видах зоны.</w:t>
      </w:r>
    </w:p>
    <w:p>
      <w:pPr>
        <w:pStyle w:val="ListParagraph"/>
        <w:numPr>
          <w:ilvl w:val="0"/>
          <w:numId w:val="4"/>
        </w:numPr>
        <w:spacing w:after="40" w:line="252"/>
        <w:jc w:val="both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Уточнить уполномоченный орган для выбранного участка.</w:t>
      </w:r>
    </w:p>
    <w:p>
      <w:pPr>
        <w:pStyle w:val="Heading1"/>
        <w:keepNext/>
        <w:pBdr>
          <w:bottom w:val="single" w:color="1F3864" w:sz="6" w:space="2"/>
        </w:pBdr>
        <w:spacing w:after="90" w:before="18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7. Источники</w:t>
      </w:r>
    </w:p>
    <w:p>
      <w:pPr>
        <w:pStyle w:val="ListParagraph"/>
        <w:numPr>
          <w:ilvl w:val="0"/>
          <w:numId w:val="5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Земельный кодекс РФ от 25.10.2001 № 136-ФЗ: ст. 7, 39.2, 39.6, 39.8, 39.14–39.17, 83, 85, 87, 88.</w:t>
      </w:r>
    </w:p>
    <w:p>
      <w:pPr>
        <w:pStyle w:val="ListParagraph"/>
        <w:numPr>
          <w:ilvl w:val="0"/>
          <w:numId w:val="5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Градостроительный кодекс РФ: ст. 37, 39.</w:t>
      </w:r>
    </w:p>
    <w:p>
      <w:pPr>
        <w:pStyle w:val="ListParagraph"/>
        <w:numPr>
          <w:ilvl w:val="0"/>
          <w:numId w:val="5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Закон Свердловской области от 07.07.2004 № 18-ОЗ «Об особенностях регулирования земельных отношений на территории Свердловской области», ст. 30; Закон Свердловской области от 03.11.2017 № 116-ОЗ.</w:t>
      </w:r>
    </w:p>
    <w:p>
      <w:pPr>
        <w:pStyle w:val="ListParagraph"/>
        <w:numPr>
          <w:ilvl w:val="0"/>
          <w:numId w:val="5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Постановления Правительства Свердловской области от 08.07.2016 № 484-ПП; от 16.07.2025 № 386-ПП.</w:t>
      </w:r>
    </w:p>
    <w:p>
      <w:pPr>
        <w:pStyle w:val="ListParagraph"/>
        <w:numPr>
          <w:ilvl w:val="0"/>
          <w:numId w:val="5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Приказ Росреестра от 10.11.2020 № П/0412 «Об утверждении классификатора видов разрешенного использования земельных участков».</w:t>
      </w:r>
    </w:p>
    <w:p>
      <w:pPr>
        <w:pStyle w:val="ListParagraph"/>
        <w:numPr>
          <w:ilvl w:val="0"/>
          <w:numId w:val="5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Постановления Правительства РФ от 29.12.2014 № 1603; от 16.12.2010 № 1032. Федеральные законы от 21.12.2004 № 172-ФЗ; от 22.07.2005 № 116-ФЗ; от 13.07.2015 № 218-ФЗ.</w:t>
      </w:r>
    </w:p>
    <w:p>
      <w:pPr>
        <w:pStyle w:val="ListParagraph"/>
        <w:numPr>
          <w:ilvl w:val="0"/>
          <w:numId w:val="5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Министерство инвестиций и развития Свердловской области: mir.midural.ru/masshtabnye-investicionnye-proekty; mir.midural.ru/activity/2834.</w:t>
      </w:r>
    </w:p>
    <w:p>
      <w:pPr>
        <w:pStyle w:val="ListParagraph"/>
        <w:numPr>
          <w:ilvl w:val="0"/>
          <w:numId w:val="5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Агентство по привлечению инвестиций Свердловской области: invest-in-ural.ru/support-measures/masshtabnyj-investicionnyj-proekt-mip.</w:t>
      </w:r>
    </w:p>
    <w:p>
      <w:pPr>
        <w:pStyle w:val="ListParagraph"/>
        <w:numPr>
          <w:ilvl w:val="0"/>
          <w:numId w:val="5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Инвестиционный портал регионов России: investinregions.ru/regions/66/measures/23596.</w:t>
      </w:r>
    </w:p>
    <w:p>
      <w:pPr>
        <w:pStyle w:val="ListParagraph"/>
        <w:numPr>
          <w:ilvl w:val="0"/>
          <w:numId w:val="5"/>
        </w:numPr>
        <w:spacing w:after="40" w:line="252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МУГИСО: mugiso.midural.ru. НСПД (Публичная кадастровая карта): nspd.gov.ru/map?thematic=PKK.</w:t>
      </w:r>
    </w:p>
    <w:sectPr>
      <w:footerReference w:type="default" r:id="rId7"/>
      <w:pgSz w:w="11906" w:h="16838" w:orient="portrait"/>
      <w:pgMar w:top="1020" w:right="851" w:bottom="102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Земельный блок — Свердловская область</dc:title>
  <dc:creator>Команда «Кубок инвестора»</dc:creator>
  <cp:lastModifiedBy>Un-named</cp:lastModifiedBy>
  <cp:revision>1</cp:revision>
  <dcterms:created xsi:type="dcterms:W3CDTF">2026-10-25T18:05:30.531Z</dcterms:created>
  <dcterms:modified xsi:type="dcterms:W3CDTF">2026-10-25T18:05:30.531Z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