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земельный-блок-свердловская-область"/>
    <w:p>
      <w:pPr>
        <w:pStyle w:val="Heading1"/>
      </w:pPr>
      <w:r>
        <w:t xml:space="preserve">ЗЕМЕЛЬНЫЙ БЛОК — Свердловская область</w:t>
      </w:r>
    </w:p>
    <w:p>
      <w:pPr>
        <w:pStyle w:val="FirstParagraph"/>
      </w:pPr>
      <w:r>
        <w:rPr>
          <w:bCs/>
          <w:b/>
        </w:rPr>
        <w:t xml:space="preserve">Турнир «Кубок инвестора», Университет имени О.Е. Кутафина (МГЮА)</w:t>
      </w:r>
      <w:r>
        <w:t xml:space="preserve"> </w:t>
      </w:r>
      <w:r>
        <w:t xml:space="preserve">Проект: Производственно-логистический комплекс по выпуску гражданских БАС</w:t>
      </w:r>
      <w:r>
        <w:t xml:space="preserve"> </w:t>
      </w:r>
      <w:r>
        <w:t xml:space="preserve">12–15 га · 45 000 кв. м · 8 МВт · 5 млн куб. м газа/год · 4,5 млрд руб. · 24 месяца · II категория НВОС</w:t>
      </w:r>
    </w:p>
    <w:p>
      <w:r>
        <w:pict>
          <v:rect style="width:0;height:1.5pt" o:hralign="center" o:hrstd="t" o:hr="t"/>
        </w:pict>
      </w:r>
    </w:p>
    <w:bookmarkStart w:id="20" w:name="Xfb5d9e908707e656ee3381b0314d6cdb817865f"/>
    <w:p>
      <w:pPr>
        <w:pStyle w:val="Heading2"/>
      </w:pPr>
      <w:r>
        <w:t xml:space="preserve">0. ВАЖНО ПРОЧИТАТЬ ПЕРВЫМ: статус проверки источников</w:t>
      </w:r>
    </w:p>
    <w:p>
      <w:pPr>
        <w:pStyle w:val="FirstParagraph"/>
      </w:pPr>
      <w:r>
        <w:t xml:space="preserve">Материал готовился в среде с</w:t>
      </w:r>
      <w:r>
        <w:t xml:space="preserve"> </w:t>
      </w:r>
      <w:r>
        <w:rPr>
          <w:bCs/>
          <w:b/>
        </w:rPr>
        <w:t xml:space="preserve">закрытым сетевым доступом</w:t>
      </w:r>
      <w:r>
        <w:t xml:space="preserve">. Недоступны оказались, в частности:</w:t>
      </w:r>
      <w:r>
        <w:t xml:space="preserve"> </w:t>
      </w:r>
      <w:r>
        <w:rPr>
          <w:rStyle w:val="VerbatimChar"/>
        </w:rPr>
        <w:t xml:space="preserve">pkk.rosreestr.ru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invest.economy.gov.ru</w:t>
      </w:r>
      <w:r>
        <w:t xml:space="preserve">,</w:t>
      </w:r>
      <w:r>
        <w:t xml:space="preserve"> </w:t>
      </w:r>
      <w:r>
        <w:rPr>
          <w:rStyle w:val="VerbatimChar"/>
        </w:rPr>
        <w:t xml:space="preserve">mir.midural.ru</w:t>
      </w:r>
      <w:r>
        <w:t xml:space="preserve">,</w:t>
      </w:r>
      <w:r>
        <w:t xml:space="preserve"> </w:t>
      </w:r>
      <w:r>
        <w:rPr>
          <w:rStyle w:val="VerbatimChar"/>
        </w:rPr>
        <w:t xml:space="preserve">midural.ru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invest-in-ural.ru</w:t>
      </w:r>
      <w:r>
        <w:t xml:space="preserve">,</w:t>
      </w:r>
      <w:r>
        <w:t xml:space="preserve"> </w:t>
      </w:r>
      <w:r>
        <w:rPr>
          <w:rStyle w:val="VerbatimChar"/>
        </w:rPr>
        <w:t xml:space="preserve">pravo.gov66.ru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publication.pravo.gov.ru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consultant.ru</w:t>
      </w:r>
      <w:r>
        <w:t xml:space="preserve">,</w:t>
      </w:r>
      <w:r>
        <w:t xml:space="preserve"> </w:t>
      </w:r>
      <w:r>
        <w:rPr>
          <w:rStyle w:val="VerbatimChar"/>
        </w:rPr>
        <w:t xml:space="preserve">garant.ru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docs.cntd.ru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Практические следствия: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Кадастровый номер участка я подставить не могу</w:t>
      </w:r>
      <w:r>
        <w:t xml:space="preserve"> </w:t>
      </w:r>
      <w:r>
        <w:t xml:space="preserve">— выгрузка с Публичной кадастровой карты недоступна. Ниже дана методика выбора, шорт-лист площадок-кандидатов и точный перечень того, что нужно скопировать с ПКК в слайд (раздел 2).</w:t>
      </w:r>
    </w:p>
    <w:p>
      <w:pPr>
        <w:numPr>
          <w:ilvl w:val="0"/>
          <w:numId w:val="1001"/>
        </w:numPr>
        <w:pStyle w:val="Compact"/>
      </w:pPr>
      <w:r>
        <w:t xml:space="preserve">Реквизиты НПА ниже промаркированы по степени достоверности: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[ПОДТВЕРЖДЕНО]</w:t>
      </w:r>
      <w:r>
        <w:t xml:space="preserve"> </w:t>
      </w:r>
      <w:r>
        <w:t xml:space="preserve">— реквизиты встретились в выдаче со ссылкой на официальный источник (сайт Минининвестиций СО, правительства СО, правовые базы);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[СВЕРИТЬ]</w:t>
      </w:r>
      <w:r>
        <w:t xml:space="preserve"> </w:t>
      </w:r>
      <w:r>
        <w:t xml:space="preserve">— реквизиты или цифры получены из вторичных источников (инвестпорталы, отраслевые СМИ) и</w:t>
      </w:r>
      <w:r>
        <w:t xml:space="preserve"> </w:t>
      </w:r>
      <w:r>
        <w:rPr>
          <w:bCs/>
          <w:b/>
        </w:rPr>
        <w:t xml:space="preserve">обязательно</w:t>
      </w:r>
      <w:r>
        <w:t xml:space="preserve"> </w:t>
      </w:r>
      <w:r>
        <w:t xml:space="preserve">должны быть сверены с действующей редакцией перед защитой.</w:t>
      </w:r>
    </w:p>
    <w:p>
      <w:pPr>
        <w:numPr>
          <w:ilvl w:val="0"/>
          <w:numId w:val="1001"/>
        </w:numPr>
        <w:pStyle w:val="Compact"/>
      </w:pPr>
      <w:r>
        <w:t xml:space="preserve">Все числовые пороги в разделе 4.3 помечены</w:t>
      </w:r>
      <w:r>
        <w:t xml:space="preserve"> </w:t>
      </w:r>
      <w:r>
        <w:rPr>
          <w:bCs/>
          <w:b/>
        </w:rPr>
        <w:t xml:space="preserve">[СВЕРИТЬ]</w:t>
      </w:r>
      <w:r>
        <w:t xml:space="preserve"> </w:t>
      </w:r>
      <w:r>
        <w:t xml:space="preserve">— это самое уязвимое место блока на вопросах жюри.</w:t>
      </w:r>
    </w:p>
    <w:p>
      <w:pPr>
        <w:pStyle w:val="FirstParagraph"/>
      </w:pPr>
      <w:r>
        <w:rPr>
          <w:bCs/>
          <w:b/>
        </w:rPr>
        <w:t xml:space="preserve">Что нужно сделать вручную перед защитой (15–20 минут):</w:t>
      </w:r>
      <w:r>
        <w:t xml:space="preserve"> </w:t>
      </w:r>
      <w:r>
        <w:t xml:space="preserve">открыть ст. 30 Закона СО № 18-ОЗ в действующей редакции и Постановление Правительства СО № 484-ПП,</w:t>
      </w:r>
      <w:r>
        <w:t xml:space="preserve"> </w:t>
      </w:r>
      <w:r>
        <w:t xml:space="preserve">переписать точные цифры порогов и срок рассмотрения, открыть ПКК и выписать реквизиты участка.</w:t>
      </w:r>
    </w:p>
    <w:p>
      <w:r>
        <w:pict>
          <v:rect style="width:0;height:1.5pt" o:hralign="center" o:hrstd="t" o:hr="t"/>
        </w:pict>
      </w:r>
    </w:p>
    <w:bookmarkEnd w:id="20"/>
    <w:bookmarkStart w:id="21" w:name="Xfe46d3cdf394035e93e9cf33eb4686b177a2e09"/>
    <w:p>
      <w:pPr>
        <w:pStyle w:val="Heading2"/>
      </w:pPr>
      <w:r>
        <w:t xml:space="preserve">1. Логика выбора площадки (слайд «Критерии отбора»)</w:t>
      </w:r>
    </w:p>
    <w:p>
      <w:pPr>
        <w:pStyle w:val="FirstParagraph"/>
      </w:pPr>
      <w:r>
        <w:t xml:space="preserve">ТЗ задаёт шесть жёстких фильтров. Площадка должна проходить</w:t>
      </w:r>
      <w:r>
        <w:t xml:space="preserve"> </w:t>
      </w:r>
      <w:r>
        <w:rPr>
          <w:bCs/>
          <w:b/>
        </w:rPr>
        <w:t xml:space="preserve">все одновременно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"/>
        <w:gridCol w:w="2992"/>
        <w:gridCol w:w="45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 значит для участка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12–15 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контур, правильная геометрия; фронт застройки под цех + склад класса «А» с разворотными площадками для фур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45 000 кв. м зданий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Проверить соответствие минимальной плотности застройки по</w:t>
            </w:r>
            <w:r>
              <w:t xml:space="preserve"> </w:t>
            </w:r>
            <w:r>
              <w:rPr>
                <w:bCs/>
                <w:b/>
              </w:rPr>
              <w:t xml:space="preserve">СП 18.13330.2019</w:t>
            </w:r>
            <w:r>
              <w:t xml:space="preserve"> </w:t>
            </w:r>
            <w:r>
              <w:t xml:space="preserve">(планировочная организация земельного участка производственного объекта) — при 12–15 га и одноэтажной застройке плотность может оказаться</w:t>
            </w:r>
            <w:r>
              <w:t xml:space="preserve"> </w:t>
            </w:r>
            <w:r>
              <w:rPr>
                <w:bCs/>
                <w:b/>
              </w:rPr>
              <w:t xml:space="preserve">ниже нормативного минимума</w:t>
            </w:r>
            <w:r>
              <w:t xml:space="preserve"> </w:t>
            </w:r>
            <w:r>
              <w:t xml:space="preserve">для машиностроения. Если так — либо уменьшать участок, либо обосновывать перспективную очередь застройки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МВт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Наличие подстанции 110/35 кВ в радиусе подключения и свободной мощности в центре питания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млн куб. м газа/год (≈ 650–700 куб. м/час)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ГРС со свободной мощностью, газопровод среднего/высокого давления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 категория НВОС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Объект негативного воздействия II категории ⇒ требуется</w:t>
            </w:r>
            <w:r>
              <w:t xml:space="preserve"> </w:t>
            </w:r>
            <w:r>
              <w:rPr>
                <w:bCs/>
                <w:b/>
              </w:rPr>
              <w:t xml:space="preserve">СЗЗ</w:t>
            </w:r>
            <w:r>
              <w:t xml:space="preserve">. Участок должен позволять разместить СЗЗ</w:t>
            </w:r>
            <w:r>
              <w:t xml:space="preserve"> </w:t>
            </w:r>
            <w:r>
              <w:rPr>
                <w:bCs/>
                <w:b/>
              </w:rPr>
              <w:t xml:space="preserve">без выхода на жилую застройку</w:t>
            </w:r>
            <w:r>
              <w:t xml:space="preserve"> </w:t>
            </w:r>
            <w:r>
              <w:t xml:space="preserve">(СанПиН 2.2.1/2.1.1.1200-03). Это главный фильтр, отсекающий участки внутри городской черты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месяца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Участок должен быть</w:t>
            </w:r>
            <w:r>
              <w:t xml:space="preserve"> </w:t>
            </w:r>
            <w:r>
              <w:rPr>
                <w:bCs/>
                <w:b/>
              </w:rPr>
              <w:t xml:space="preserve">уже сформирован и стоять на кадастровом учёте</w:t>
            </w:r>
            <w:r>
              <w:t xml:space="preserve">, иначе +6–12 мес. только на образование участка и перевод категории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 для слайда:</w:t>
      </w:r>
      <w:r>
        <w:t xml:space="preserve"> </w:t>
      </w:r>
      <w:r>
        <w:t xml:space="preserve">мы не ищем «дешёвую землю» — мы ищем землю, которая</w:t>
      </w:r>
      <w:r>
        <w:t xml:space="preserve"> </w:t>
      </w:r>
      <w:r>
        <w:rPr>
          <w:bCs/>
          <w:b/>
        </w:rPr>
        <w:t xml:space="preserve">не создаёт процедурных задержек</w:t>
      </w:r>
      <w:r>
        <w:t xml:space="preserve">. Критерий №6 важнее цены.</w:t>
      </w:r>
    </w:p>
    <w:p>
      <w:r>
        <w:pict>
          <v:rect style="width:0;height:1.5pt" o:hralign="center" o:hrstd="t" o:hr="t"/>
        </w:pict>
      </w:r>
    </w:p>
    <w:bookmarkEnd w:id="21"/>
    <w:bookmarkStart w:id="24" w:name="выбор-участка-и-что-подставить-в-слайд"/>
    <w:p>
      <w:pPr>
        <w:pStyle w:val="Heading2"/>
      </w:pPr>
      <w:r>
        <w:t xml:space="preserve">2. Выбор участка и что подставить в слайд</w:t>
      </w:r>
    </w:p>
    <w:bookmarkStart w:id="22" w:name="X0649ea6fe94919a1ffc93402b8a675eb762e003"/>
    <w:p>
      <w:pPr>
        <w:pStyle w:val="Heading3"/>
      </w:pPr>
      <w:r>
        <w:t xml:space="preserve">2.1. Шорт-лист площадок-кандидатов по Свердловской области</w:t>
      </w:r>
    </w:p>
    <w:p>
      <w:pPr>
        <w:pStyle w:val="BlockText"/>
      </w:pPr>
      <w:r>
        <w:t xml:space="preserve">Площадки приведены как</w:t>
      </w:r>
      <w:r>
        <w:t xml:space="preserve"> </w:t>
      </w:r>
      <w:r>
        <w:rPr>
          <w:bCs/>
          <w:b/>
        </w:rPr>
        <w:t xml:space="preserve">направления поиска</w:t>
      </w:r>
      <w:r>
        <w:t xml:space="preserve">. Конкретный кадастровый номер, площадь, категорию и ВРИ необходимо выгрузить с pkk.rosreestr.ru и с Инвестиционной карты РФ (invest.economy.gov.ru, раздел «Инвестиционные площадки»).</w:t>
      </w:r>
    </w:p>
    <w:p>
      <w:pPr>
        <w:pStyle w:val="FirstParagraph"/>
      </w:pPr>
      <w:r>
        <w:rPr>
          <w:bCs/>
          <w:b/>
        </w:rPr>
        <w:t xml:space="preserve">Вариант А — ОЭЗ ППТ «Титановая долина», площадка «Уктус» (Екатеринбург)</w:t>
      </w:r>
    </w:p>
    <w:p>
      <w:pPr>
        <w:numPr>
          <w:ilvl w:val="0"/>
          <w:numId w:val="1003"/>
        </w:numPr>
        <w:pStyle w:val="Compact"/>
      </w:pPr>
      <w:r>
        <w:t xml:space="preserve">ОЭЗ создана Постановлением Правительства РФ</w:t>
      </w:r>
      <w:r>
        <w:t xml:space="preserve"> </w:t>
      </w:r>
      <w:r>
        <w:rPr>
          <w:bCs/>
          <w:b/>
        </w:rPr>
        <w:t xml:space="preserve">от 16.12.2010 № 1032</w:t>
      </w:r>
      <w:r>
        <w:t xml:space="preserve"> </w:t>
      </w:r>
      <w:r>
        <w:rPr>
          <w:bCs/>
          <w:b/>
        </w:rPr>
        <w:t xml:space="preserve">[СВЕРИТЬ]</w:t>
      </w:r>
      <w:r>
        <w:t xml:space="preserve">; действующие площадки — «Верхняя Салда» и «Уктус»</w:t>
      </w:r>
      <w:r>
        <w:t xml:space="preserve"> </w:t>
      </w:r>
      <w:r>
        <w:rPr>
          <w:bCs/>
          <w:b/>
        </w:rPr>
        <w:t xml:space="preserve">[СВЕРИТЬ площади: по открытым данным ≈ 298,1 га и ≈ 96,7 га соответственно]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Ключевой аргумент именно под БАС:</w:t>
      </w:r>
      <w:r>
        <w:t xml:space="preserve"> </w:t>
      </w:r>
      <w:r>
        <w:t xml:space="preserve">площадка расположена на территории бывшего аэродрома Уктус. Для производителя беспилотников соседство с лётным полем — это</w:t>
      </w:r>
      <w:r>
        <w:t xml:space="preserve"> </w:t>
      </w:r>
      <w:r>
        <w:rPr>
          <w:bCs/>
          <w:b/>
        </w:rPr>
        <w:t xml:space="preserve">не риск, а актив</w:t>
      </w:r>
      <w:r>
        <w:t xml:space="preserve">: возможность заводских лётных испытаний и сертификационных полётов без выноса площадки за 100 км.</w:t>
      </w:r>
    </w:p>
    <w:p>
      <w:pPr>
        <w:numPr>
          <w:ilvl w:val="0"/>
          <w:numId w:val="1003"/>
        </w:numPr>
        <w:pStyle w:val="Compact"/>
      </w:pPr>
      <w:r>
        <w:t xml:space="preserve">Минус: земля в ОЭЗ предоставляется</w:t>
      </w:r>
      <w:r>
        <w:t xml:space="preserve"> </w:t>
      </w:r>
      <w:r>
        <w:rPr>
          <w:bCs/>
          <w:b/>
        </w:rPr>
        <w:t xml:space="preserve">по другой правовой схеме</w:t>
      </w:r>
      <w:r>
        <w:t xml:space="preserve"> </w:t>
      </w:r>
      <w:r>
        <w:t xml:space="preserve">(см. раздел 5.1), а не как масштабный инвестпроект. Если вы берёте этот вариант основным — обоснование аренды без торгов строится на резидентстве ОЭЗ, а МИП уходит в «альтернативы».</w:t>
      </w:r>
    </w:p>
    <w:p>
      <w:pPr>
        <w:pStyle w:val="FirstParagraph"/>
      </w:pPr>
      <w:r>
        <w:rPr>
          <w:bCs/>
          <w:b/>
        </w:rPr>
        <w:t xml:space="preserve">Вариант Б — greenfield-участок в городском округе с развитой промплощадкой (под схему МИП)</w:t>
      </w:r>
    </w:p>
    <w:p>
      <w:pPr>
        <w:numPr>
          <w:ilvl w:val="0"/>
          <w:numId w:val="1004"/>
        </w:numPr>
        <w:pStyle w:val="Compact"/>
      </w:pPr>
      <w:r>
        <w:t xml:space="preserve">Ориентиры: индустриальные площадки Верхней Пышмы, Берёзовского, Сысертского, Белоярского, Каменск-Уральского, Первоуральского ГО — транспортная связность с ЕКАД и наличие энергоузлов.</w:t>
      </w:r>
    </w:p>
    <w:p>
      <w:pPr>
        <w:numPr>
          <w:ilvl w:val="0"/>
          <w:numId w:val="1004"/>
        </w:numPr>
        <w:pStyle w:val="Compact"/>
      </w:pPr>
      <w:r>
        <w:t xml:space="preserve">Это</w:t>
      </w:r>
      <w:r>
        <w:t xml:space="preserve"> </w:t>
      </w:r>
      <w:r>
        <w:rPr>
          <w:bCs/>
          <w:b/>
        </w:rPr>
        <w:t xml:space="preserve">единственный вариант, в котором работает «чистая» схема МИП</w:t>
      </w:r>
      <w:r>
        <w:t xml:space="preserve"> </w:t>
      </w:r>
      <w:r>
        <w:t xml:space="preserve">из ТЗ (ст. 39.6 ЗК РФ + ст. 30 Закона СО № 18-ОЗ). Рекомендуемый как основной, т.к. ТЗ турнира прямо требует обоснования «аренды без торгов под масштабный инвестпроект».</w:t>
      </w:r>
    </w:p>
    <w:p>
      <w:pPr>
        <w:pStyle w:val="FirstParagraph"/>
      </w:pPr>
      <w:r>
        <w:rPr>
          <w:bCs/>
          <w:b/>
        </w:rPr>
        <w:t xml:space="preserve">Вариант В — ТОСЭР в моногородах</w:t>
      </w:r>
    </w:p>
    <w:p>
      <w:pPr>
        <w:numPr>
          <w:ilvl w:val="0"/>
          <w:numId w:val="1005"/>
        </w:numPr>
        <w:pStyle w:val="Compact"/>
      </w:pPr>
      <w:r>
        <w:t xml:space="preserve">По открытым данным статус ТОСЭР получали</w:t>
      </w:r>
      <w:r>
        <w:t xml:space="preserve"> </w:t>
      </w:r>
      <w:r>
        <w:rPr>
          <w:bCs/>
          <w:b/>
        </w:rPr>
        <w:t xml:space="preserve">Краснотурьинск, Новоуральск, Лесной</w:t>
      </w:r>
      <w:r>
        <w:t xml:space="preserve"> </w:t>
      </w:r>
      <w:r>
        <w:t xml:space="preserve">(Новоуральск — ПП РФ от 12.02.2019 № 130)</w:t>
      </w:r>
      <w:r>
        <w:t xml:space="preserve"> </w:t>
      </w:r>
      <w:r>
        <w:rPr>
          <w:bCs/>
          <w:b/>
        </w:rPr>
        <w:t xml:space="preserve">[СВЕРИТЬ, в т.ч. действует ли режим на сегодня]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Минусы под наше ТЗ: удалённость от Екатеринбурга и аэроузла, ограничения ЗАТО (Новоуральск, Лесной — режим закрытого образования, въезд и привлечение персонала), риск истечения срока режима.</w:t>
      </w:r>
    </w:p>
    <w:p>
      <w:pPr>
        <w:pStyle w:val="FirstParagraph"/>
      </w:pPr>
      <w:r>
        <w:rPr>
          <w:bCs/>
          <w:b/>
        </w:rPr>
        <w:t xml:space="preserve">Рекомендация:</w:t>
      </w:r>
      <w:r>
        <w:t xml:space="preserve"> </w:t>
      </w:r>
      <w:r>
        <w:t xml:space="preserve">основная схема —</w:t>
      </w:r>
      <w:r>
        <w:t xml:space="preserve"> </w:t>
      </w:r>
      <w:r>
        <w:rPr>
          <w:bCs/>
          <w:b/>
        </w:rPr>
        <w:t xml:space="preserve">Вариант Б</w:t>
      </w:r>
      <w:r>
        <w:t xml:space="preserve"> </w:t>
      </w:r>
      <w:r>
        <w:t xml:space="preserve">(greenfield + МИП), резервная —</w:t>
      </w:r>
      <w:r>
        <w:t xml:space="preserve"> </w:t>
      </w:r>
      <w:r>
        <w:rPr>
          <w:bCs/>
          <w:b/>
        </w:rPr>
        <w:t xml:space="preserve">Вариант А</w:t>
      </w:r>
      <w:r>
        <w:t xml:space="preserve"> </w:t>
      </w:r>
      <w:r>
        <w:t xml:space="preserve">(ОЭЗ). На слайде показать обе и объяснить, почему выбрана основная: ТЗ требует обоснования аренды без торгов под МИП.</w:t>
      </w:r>
    </w:p>
    <w:bookmarkEnd w:id="22"/>
    <w:bookmarkStart w:id="23" w:name="Xfc40fc9ca640193148932e9dd4366c3f7d2455f"/>
    <w:p>
      <w:pPr>
        <w:pStyle w:val="Heading3"/>
      </w:pPr>
      <w:r>
        <w:t xml:space="preserve">2.2. Что именно выписать с ПКК в слайд (шаблон, заполняется вручную)</w:t>
      </w:r>
    </w:p>
    <w:p>
      <w:pPr>
        <w:pStyle w:val="SourceCode"/>
      </w:pPr>
      <w:r>
        <w:rPr>
          <w:rStyle w:val="VerbatimChar"/>
        </w:rPr>
        <w:t xml:space="preserve">Кадастровый номер:        66:__:__________:____</w:t>
      </w:r>
      <w:r>
        <w:br/>
      </w:r>
      <w:r>
        <w:rPr>
          <w:rStyle w:val="VerbatimChar"/>
        </w:rPr>
        <w:t xml:space="preserve">Площадь по ЕГРН:          ____ кв. м (____ га)</w:t>
      </w:r>
      <w:r>
        <w:br/>
      </w:r>
      <w:r>
        <w:rPr>
          <w:rStyle w:val="VerbatimChar"/>
        </w:rPr>
        <w:t xml:space="preserve">Категория земель:         _______________________</w:t>
      </w:r>
      <w:r>
        <w:br/>
      </w:r>
      <w:r>
        <w:rPr>
          <w:rStyle w:val="VerbatimChar"/>
        </w:rPr>
        <w:t xml:space="preserve">Вид разрешённого использования: ________________</w:t>
      </w:r>
      <w:r>
        <w:br/>
      </w:r>
      <w:r>
        <w:rPr>
          <w:rStyle w:val="VerbatimChar"/>
        </w:rPr>
        <w:t xml:space="preserve">Форма собственности:      собственность СО / муниципальная /</w:t>
      </w:r>
      <w:r>
        <w:br/>
      </w:r>
      <w:r>
        <w:rPr>
          <w:rStyle w:val="VerbatimChar"/>
        </w:rPr>
        <w:t xml:space="preserve">                          не разграничена / частная</w:t>
      </w:r>
      <w:r>
        <w:br/>
      </w:r>
      <w:r>
        <w:rPr>
          <w:rStyle w:val="VerbatimChar"/>
        </w:rPr>
        <w:t xml:space="preserve">Адрес (местоположение):   _______________________</w:t>
      </w:r>
      <w:r>
        <w:br/>
      </w:r>
      <w:r>
        <w:rPr>
          <w:rStyle w:val="VerbatimChar"/>
        </w:rPr>
        <w:t xml:space="preserve">Кадастровая стоимость:    ____ руб.</w:t>
      </w:r>
      <w:r>
        <w:br/>
      </w:r>
      <w:r>
        <w:rPr>
          <w:rStyle w:val="VerbatimChar"/>
        </w:rPr>
        <w:t xml:space="preserve">Статус записи ЕГРН:       актуальная / временная / ранее учтённая</w:t>
      </w:r>
      <w:r>
        <w:br/>
      </w:r>
      <w:r>
        <w:rPr>
          <w:rStyle w:val="VerbatimChar"/>
        </w:rPr>
        <w:t xml:space="preserve">Ограничения (ЗОУИТ):      _______________________</w:t>
      </w:r>
    </w:p>
    <w:p>
      <w:pPr>
        <w:pStyle w:val="FirstParagraph"/>
      </w:pPr>
      <w:r>
        <w:rPr>
          <w:bCs/>
          <w:b/>
        </w:rPr>
        <w:t xml:space="preserve">Как заполнять (порядок действий на ПКК):</w:t>
      </w:r>
    </w:p>
    <w:p>
      <w:pPr>
        <w:numPr>
          <w:ilvl w:val="0"/>
          <w:numId w:val="1006"/>
        </w:numPr>
        <w:pStyle w:val="Compact"/>
      </w:pPr>
      <w:r>
        <w:t xml:space="preserve">pkk.rosreestr.ru → слой «Земельные участки» → найти контур нужной площадки.</w:t>
      </w:r>
    </w:p>
    <w:p>
      <w:pPr>
        <w:numPr>
          <w:ilvl w:val="0"/>
          <w:numId w:val="1006"/>
        </w:numPr>
        <w:pStyle w:val="Compact"/>
      </w:pPr>
      <w:r>
        <w:t xml:space="preserve">Открыть карточку участка → вкладка «Информация»: номер, площадь, категория, ВРИ, форма собственности, кадастровая стоимость.</w:t>
      </w:r>
    </w:p>
    <w:p>
      <w:pPr>
        <w:numPr>
          <w:ilvl w:val="0"/>
          <w:numId w:val="1006"/>
        </w:numPr>
        <w:pStyle w:val="Compact"/>
      </w:pPr>
      <w:r>
        <w:t xml:space="preserve">Включить слой</w:t>
      </w:r>
      <w:r>
        <w:t xml:space="preserve"> </w:t>
      </w:r>
      <w:r>
        <w:rPr>
          <w:bCs/>
          <w:b/>
        </w:rPr>
        <w:t xml:space="preserve">«ЗОУИТ»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«Зоны с особыми условиями использования территории»</w:t>
      </w:r>
      <w:r>
        <w:t xml:space="preserve"> </w:t>
      </w:r>
      <w:r>
        <w:t xml:space="preserve">— зафиксировать все пересечения.</w:t>
      </w:r>
    </w:p>
    <w:p>
      <w:pPr>
        <w:numPr>
          <w:ilvl w:val="0"/>
          <w:numId w:val="1006"/>
        </w:numPr>
        <w:pStyle w:val="Compact"/>
      </w:pPr>
      <w:r>
        <w:t xml:space="preserve">Сверить с</w:t>
      </w:r>
      <w:r>
        <w:t xml:space="preserve"> </w:t>
      </w:r>
      <w:r>
        <w:rPr>
          <w:bCs/>
          <w:b/>
        </w:rPr>
        <w:t xml:space="preserve">Инвестиционной картой РФ</w:t>
      </w:r>
      <w:r>
        <w:t xml:space="preserve"> </w:t>
      </w:r>
      <w:r>
        <w:t xml:space="preserve">(invest.economy.gov.ru): есть ли участок в реестре инвестплощадок региона, какие по нему заявлены сети.</w:t>
      </w:r>
    </w:p>
    <w:p>
      <w:pPr>
        <w:numPr>
          <w:ilvl w:val="0"/>
          <w:numId w:val="1006"/>
        </w:numPr>
        <w:pStyle w:val="Compact"/>
      </w:pPr>
      <w:r>
        <w:t xml:space="preserve">Скриншот фрагмента ПКК с подсвеченным контуром —</w:t>
      </w:r>
      <w:r>
        <w:t xml:space="preserve"> </w:t>
      </w:r>
      <w:r>
        <w:rPr>
          <w:bCs/>
          <w:b/>
        </w:rPr>
        <w:t xml:space="preserve">обязательно на слайд</w:t>
      </w:r>
      <w:r>
        <w:t xml:space="preserve">, жюри это проверяет.</w:t>
      </w:r>
    </w:p>
    <w:p>
      <w:pPr>
        <w:pStyle w:val="FirstParagraph"/>
      </w:pPr>
      <w:r>
        <w:rPr>
          <w:bCs/>
          <w:b/>
        </w:rPr>
        <w:t xml:space="preserve">Красные флаги, при которых участок брать нельзя (п. 1–19 ст. 39.16 ЗК РФ):</w:t>
      </w:r>
    </w:p>
    <w:p>
      <w:pPr>
        <w:numPr>
          <w:ilvl w:val="0"/>
          <w:numId w:val="1007"/>
        </w:numPr>
        <w:pStyle w:val="Compact"/>
      </w:pPr>
      <w:r>
        <w:t xml:space="preserve">на участке есть объекты капитального строительства третьих лиц;</w:t>
      </w:r>
    </w:p>
    <w:p>
      <w:pPr>
        <w:numPr>
          <w:ilvl w:val="0"/>
          <w:numId w:val="1007"/>
        </w:numPr>
        <w:pStyle w:val="Compact"/>
      </w:pPr>
      <w:r>
        <w:t xml:space="preserve">участок уже предоставлен (зарегистрированы права третьих лиц);</w:t>
      </w:r>
    </w:p>
    <w:p>
      <w:pPr>
        <w:numPr>
          <w:ilvl w:val="0"/>
          <w:numId w:val="1007"/>
        </w:numPr>
        <w:pStyle w:val="Compact"/>
      </w:pPr>
      <w:r>
        <w:t xml:space="preserve">участок изъят или ограничен в обороте (ст. 27 ЗК РФ);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ВРИ не соответствует заявленной цели использования</w:t>
      </w:r>
      <w:r>
        <w:t xml:space="preserve"> </w:t>
      </w:r>
      <w:r>
        <w:t xml:space="preserve">(п. 14 ст. 39.16 ЗК РФ);</w:t>
      </w:r>
    </w:p>
    <w:p>
      <w:pPr>
        <w:numPr>
          <w:ilvl w:val="0"/>
          <w:numId w:val="1007"/>
        </w:numPr>
        <w:pStyle w:val="Compact"/>
      </w:pPr>
      <w:r>
        <w:t xml:space="preserve">участок в границах территории, на которую утверждён иной проект планировки;</w:t>
      </w:r>
    </w:p>
    <w:p>
      <w:pPr>
        <w:numPr>
          <w:ilvl w:val="0"/>
          <w:numId w:val="1007"/>
        </w:numPr>
        <w:pStyle w:val="Compact"/>
      </w:pPr>
      <w:r>
        <w:t xml:space="preserve">статус записи в ЕГРН «временная» (участок не прошёл учёт окончательно).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736741d63c7030705bb53dc7c08241d1323e63a"/>
    <w:p>
      <w:pPr>
        <w:pStyle w:val="Heading2"/>
      </w:pPr>
      <w:r>
        <w:t xml:space="preserve">3. Категория земель и разрешённое использование</w:t>
      </w:r>
    </w:p>
    <w:bookmarkStart w:id="25" w:name="категория"/>
    <w:p>
      <w:pPr>
        <w:pStyle w:val="Heading3"/>
      </w:pPr>
      <w:r>
        <w:t xml:space="preserve">3.1. Категория</w:t>
      </w:r>
    </w:p>
    <w:p>
      <w:pPr>
        <w:pStyle w:val="FirstParagraph"/>
      </w:pPr>
      <w:r>
        <w:rPr>
          <w:bCs/>
          <w:b/>
        </w:rPr>
        <w:t xml:space="preserve">Целевая конфигурация — «земли промышленности, энергетики, транспорта, связи, радиовещания, телевидения, информатики, земли для обеспечения космической деятельности, земли обороны, безопасности и земли иного специального назначения»</w:t>
      </w:r>
      <w:r>
        <w:t xml:space="preserve"> </w:t>
      </w:r>
      <w:r>
        <w:t xml:space="preserve">(пп. 7 п. 1 ст. 7, ст. 87,</w:t>
      </w:r>
      <w:r>
        <w:t xml:space="preserve"> </w:t>
      </w:r>
      <w:r>
        <w:rPr>
          <w:bCs/>
          <w:b/>
        </w:rPr>
        <w:t xml:space="preserve">ст. 88 ЗК РФ</w:t>
      </w:r>
      <w:r>
        <w:t xml:space="preserve"> </w:t>
      </w:r>
      <w:r>
        <w:t xml:space="preserve">— «Земли промышленности»).</w:t>
      </w:r>
    </w:p>
    <w:p>
      <w:pPr>
        <w:pStyle w:val="BodyText"/>
      </w:pPr>
      <w:r>
        <w:t xml:space="preserve">Допустимая альтернатива:</w:t>
      </w:r>
      <w:r>
        <w:t xml:space="preserve"> </w:t>
      </w:r>
      <w:r>
        <w:rPr>
          <w:bCs/>
          <w:b/>
        </w:rPr>
        <w:t xml:space="preserve">«земли населённых пунктов»</w:t>
      </w:r>
      <w:r>
        <w:t xml:space="preserve"> </w:t>
      </w:r>
      <w:r>
        <w:t xml:space="preserve">(ст. 83–85 ЗК РФ), если участок в границах населённого пункта и по ПЗЗ отнесён к</w:t>
      </w:r>
      <w:r>
        <w:t xml:space="preserve"> </w:t>
      </w:r>
      <w:r>
        <w:rPr>
          <w:bCs/>
          <w:b/>
        </w:rPr>
        <w:t xml:space="preserve">производственной территориальной зоне (П / ПК)</w:t>
      </w:r>
      <w:r>
        <w:t xml:space="preserve">. Для ОЭЗ «Уктус» это наиболее вероятный вариант.</w:t>
      </w:r>
    </w:p>
    <w:p>
      <w:pPr>
        <w:pStyle w:val="BodyText"/>
      </w:pPr>
      <w:r>
        <w:rPr>
          <w:bCs/>
          <w:b/>
        </w:rPr>
        <w:t xml:space="preserve">Тезис для слайда:</w:t>
      </w:r>
      <w:r>
        <w:t xml:space="preserve"> </w:t>
      </w:r>
      <w:r>
        <w:t xml:space="preserve">«Категория земель для нас — не формальность, а срок. Если участок окажется землями сельхозназначения, потребуется перевод категории по</w:t>
      </w:r>
      <w:r>
        <w:t xml:space="preserve"> </w:t>
      </w:r>
      <w:r>
        <w:rPr>
          <w:bCs/>
          <w:b/>
        </w:rPr>
        <w:t xml:space="preserve">Федеральному закону от 21.12.2004 № 172-ФЗ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О переводе земель или земельных участков из одной категории в другую</w:t>
      </w:r>
      <w:r>
        <w:rPr>
          <w:bCs/>
          <w:b/>
        </w:rPr>
        <w:t xml:space="preserve">”</w:t>
      </w:r>
      <w:r>
        <w:t xml:space="preserve"> </w:t>
      </w:r>
      <w:r>
        <w:t xml:space="preserve">(основание — п. 6 ч. 1 ст. 7: размещение промышленных объектов на землях с кадастровой стоимостью ниже среднерайонной). Это</w:t>
      </w:r>
      <w:r>
        <w:t xml:space="preserve"> </w:t>
      </w:r>
      <w:r>
        <w:rPr>
          <w:bCs/>
          <w:b/>
        </w:rPr>
        <w:t xml:space="preserve">+4–8 месяцев</w:t>
      </w:r>
      <w:r>
        <w:t xml:space="preserve"> </w:t>
      </w:r>
      <w:r>
        <w:t xml:space="preserve">и риск отказа. Поэтому в шорт-лист мы включали только участки, уже отнесённые к промышленности либо к производственной зоне населённого пункта».</w:t>
      </w:r>
    </w:p>
    <w:bookmarkEnd w:id="25"/>
    <w:bookmarkStart w:id="26" w:name="вид-разрешённого-использования"/>
    <w:p>
      <w:pPr>
        <w:pStyle w:val="Heading3"/>
      </w:pPr>
      <w:r>
        <w:t xml:space="preserve">3.2. Вид разрешённого использования</w:t>
      </w:r>
    </w:p>
    <w:p>
      <w:pPr>
        <w:pStyle w:val="FirstParagraph"/>
      </w:pPr>
      <w:r>
        <w:t xml:space="preserve">Классификатор ВРИ утверждён</w:t>
      </w:r>
      <w:r>
        <w:t xml:space="preserve"> </w:t>
      </w:r>
      <w:r>
        <w:rPr>
          <w:bCs/>
          <w:b/>
        </w:rPr>
        <w:t xml:space="preserve">Приказом Росреестра от 10.11.2020 № П/0412</w:t>
      </w:r>
      <w:r>
        <w:t xml:space="preserve"> </w:t>
      </w:r>
      <w:r>
        <w:t xml:space="preserve">(зарегистрирован в Минюсте 15.12.2020, рег. № 61482)</w:t>
      </w:r>
      <w:r>
        <w:t xml:space="preserve"> </w:t>
      </w:r>
      <w:r>
        <w:rPr>
          <w:bCs/>
          <w:b/>
        </w:rPr>
        <w:t xml:space="preserve">[ПОДТВЕРЖДЕНО; проверить последнюю редакцию]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"/>
        <w:gridCol w:w="2640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 нужен нашему проекту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Тяжёлая промышленность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Основной ВРИ.</w:t>
            </w:r>
            <w:r>
              <w:t xml:space="preserve"> </w:t>
            </w:r>
            <w:r>
              <w:t xml:space="preserve">Описание кода прямо включает «изготовление и ремонт продукции</w:t>
            </w:r>
            <w:r>
              <w:t xml:space="preserve"> </w:t>
            </w:r>
            <w:r>
              <w:rPr>
                <w:bCs/>
                <w:b/>
              </w:rPr>
              <w:t xml:space="preserve">авиастроения</w:t>
            </w:r>
            <w:r>
              <w:t xml:space="preserve">» и предполагает установление охранных или</w:t>
            </w:r>
            <w:r>
              <w:t xml:space="preserve"> </w:t>
            </w:r>
            <w:r>
              <w:rPr>
                <w:bCs/>
                <w:b/>
              </w:rPr>
              <w:t xml:space="preserve">санитарно-защитных зон</w:t>
            </w:r>
            <w:r>
              <w:t xml:space="preserve"> </w:t>
            </w:r>
            <w:r>
              <w:t xml:space="preserve">— это ровно наш случай (БАС = авиастроение, II категория НВОС = СЗЗ)</w:t>
            </w:r>
            <w:r>
              <w:t xml:space="preserve"> </w:t>
            </w:r>
            <w:r>
              <w:rPr>
                <w:bCs/>
                <w:b/>
              </w:rPr>
              <w:t xml:space="preserve">[ПОДТВЕРЖДЕНО]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 класса «А»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Научно-производственная деятельность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в составе комплекса будет КБ / испытательный блок / сертификационный центр</w:t>
            </w:r>
            <w:r>
              <w:t xml:space="preserve"> </w:t>
            </w:r>
            <w:r>
              <w:rPr>
                <w:bCs/>
                <w:b/>
              </w:rPr>
              <w:t xml:space="preserve">[СВЕРИТЬ формулировку кода]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Предоставление коммунальных услуг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Собственные объекты инженерной инфраструктуры: ТП, ГРПШ, очистные, насосная</w:t>
            </w:r>
            <w:r>
              <w:t xml:space="preserve"> </w:t>
            </w:r>
            <w:r>
              <w:rPr>
                <w:bCs/>
                <w:b/>
              </w:rPr>
              <w:t xml:space="preserve">[СВЕРИТЬ]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Воздушный транспорт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если в составе площадки планируется взлётно-посадочная площадка для лётных испытаний БАС</w:t>
            </w:r>
            <w:r>
              <w:t xml:space="preserve"> </w:t>
            </w:r>
            <w:r>
              <w:rPr>
                <w:bCs/>
                <w:b/>
              </w:rPr>
              <w:t xml:space="preserve">[СВЕРИТЬ]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Сильный тезис для жюри (отрабатывайте его обязательно):</w:t>
      </w:r>
    </w:p>
    <w:p>
      <w:pPr>
        <w:pStyle w:val="BlockText"/>
      </w:pPr>
      <w:r>
        <w:t xml:space="preserve">«Мы сознательно выбрали код</w:t>
      </w:r>
      <w:r>
        <w:t xml:space="preserve"> </w:t>
      </w:r>
      <w:r>
        <w:rPr>
          <w:bCs/>
          <w:b/>
        </w:rPr>
        <w:t xml:space="preserve">6.2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Тяжёлая промышленность</w:t>
      </w:r>
      <w:r>
        <w:rPr>
          <w:bCs/>
          <w:b/>
        </w:rPr>
        <w:t xml:space="preserve">”</w:t>
      </w:r>
      <w:r>
        <w:t xml:space="preserve">, а не общий 6.0</w:t>
      </w:r>
      <w:r>
        <w:t xml:space="preserve"> </w:t>
      </w:r>
      <w:r>
        <w:t xml:space="preserve">“</w:t>
      </w:r>
      <w:r>
        <w:t xml:space="preserve">Производственная деятельность</w:t>
      </w:r>
      <w:r>
        <w:t xml:space="preserve">”</w:t>
      </w:r>
      <w:r>
        <w:t xml:space="preserve">. Причина юридическая: описание кода 6.2 прямо называет авиастроение и прямо предусматривает установление санитарно-защитной зоны. Для объекта</w:t>
      </w:r>
      <w:r>
        <w:t xml:space="preserve"> </w:t>
      </w:r>
      <w:r>
        <w:rPr>
          <w:bCs/>
          <w:b/>
        </w:rPr>
        <w:t xml:space="preserve">II категории НВОС</w:t>
      </w:r>
      <w:r>
        <w:t xml:space="preserve"> </w:t>
      </w:r>
      <w:r>
        <w:t xml:space="preserve">это снимает будущий спор о соответствии ВРИ фактическому использованию и закрывает</w:t>
      </w:r>
      <w:r>
        <w:t xml:space="preserve"> </w:t>
      </w:r>
      <w:r>
        <w:rPr>
          <w:bCs/>
          <w:b/>
        </w:rPr>
        <w:t xml:space="preserve">основание для отказа по п. 14 ст. 39.16 ЗК РФ</w:t>
      </w:r>
      <w:r>
        <w:t xml:space="preserve">. Код 6.9</w:t>
      </w:r>
      <w:r>
        <w:t xml:space="preserve"> </w:t>
      </w:r>
      <w:r>
        <w:t xml:space="preserve">“</w:t>
      </w:r>
      <w:r>
        <w:t xml:space="preserve">Склад</w:t>
      </w:r>
      <w:r>
        <w:t xml:space="preserve">”</w:t>
      </w:r>
      <w:r>
        <w:t xml:space="preserve"> </w:t>
      </w:r>
      <w:r>
        <w:t xml:space="preserve">добавляем вторым, чтобы склад класса</w:t>
      </w:r>
      <w:r>
        <w:t xml:space="preserve"> </w:t>
      </w:r>
      <w:r>
        <w:t xml:space="preserve">“</w:t>
      </w:r>
      <w:r>
        <w:t xml:space="preserve">А</w:t>
      </w:r>
      <w:r>
        <w:t xml:space="preserve">”</w:t>
      </w:r>
      <w:r>
        <w:t xml:space="preserve"> </w:t>
      </w:r>
      <w:r>
        <w:t xml:space="preserve">не пришлось потом легализовывать отдельно».</w:t>
      </w:r>
    </w:p>
    <w:p>
      <w:pPr>
        <w:pStyle w:val="FirstParagraph"/>
      </w:pPr>
      <w:r>
        <w:rPr>
          <w:bCs/>
          <w:b/>
        </w:rPr>
        <w:t xml:space="preserve">Процедурная оговорка:</w:t>
      </w:r>
      <w:r>
        <w:t xml:space="preserve"> </w:t>
      </w:r>
      <w:r>
        <w:t xml:space="preserve">по</w:t>
      </w:r>
      <w:r>
        <w:t xml:space="preserve"> </w:t>
      </w:r>
      <w:r>
        <w:rPr>
          <w:bCs/>
          <w:b/>
        </w:rPr>
        <w:t xml:space="preserve">ч. 4 ст. 37 ГрК РФ</w:t>
      </w:r>
      <w:r>
        <w:t xml:space="preserve"> </w:t>
      </w:r>
      <w:r>
        <w:t xml:space="preserve">правообладатель выбирает основные виды разрешённого использования самостоятельно, без дополнительных разрешений — но</w:t>
      </w:r>
      <w:r>
        <w:t xml:space="preserve"> </w:t>
      </w:r>
      <w:r>
        <w:rPr>
          <w:bCs/>
          <w:b/>
        </w:rPr>
        <w:t xml:space="preserve">только из перечня основных ВРИ соответствующей территориальной зоны по ПЗЗ</w:t>
      </w:r>
      <w:r>
        <w:t xml:space="preserve">. Поэтому до подачи заявления нужно проверить ПЗЗ муниципалитета: входят ли 6.2 и 6.9 в основные виды для зоны, где лежит участок. Если нет — потребуется условно разрешённый вид (ст. 39 ГрК РФ, публичные слушания, +2–3 месяца) либо внесение изменений в ПЗЗ.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5b2833ff65873b1a77db02291e5f1c0fe66ffa4"/>
    <w:p>
      <w:pPr>
        <w:pStyle w:val="Heading2"/>
      </w:pPr>
      <w:r>
        <w:t xml:space="preserve">4. Юридическое обоснование аренды без торгов (основная схема — МИП)</w:t>
      </w:r>
    </w:p>
    <w:bookmarkStart w:id="28" w:name="федеральное-основание"/>
    <w:p>
      <w:pPr>
        <w:pStyle w:val="Heading3"/>
      </w:pPr>
      <w:r>
        <w:t xml:space="preserve">4.1. Федеральное основание</w:t>
      </w:r>
    </w:p>
    <w:p>
      <w:pPr>
        <w:pStyle w:val="FirstParagraph"/>
      </w:pPr>
      <w:r>
        <w:rPr>
          <w:bCs/>
          <w:b/>
        </w:rPr>
        <w:t xml:space="preserve">Подпункт 3 пункта 2 статьи 39.6 Земельного кодекса РФ:</w:t>
      </w:r>
      <w:r>
        <w:t xml:space="preserve"> </w:t>
      </w:r>
      <w:r>
        <w:t xml:space="preserve">договор аренды земельного участка, находящегося в государственной или муниципальной собственности, заключается</w:t>
      </w:r>
      <w:r>
        <w:t xml:space="preserve"> </w:t>
      </w:r>
      <w:r>
        <w:rPr>
          <w:bCs/>
          <w:b/>
        </w:rPr>
        <w:t xml:space="preserve">без проведения торгов</w:t>
      </w:r>
      <w:r>
        <w:t xml:space="preserve"> </w:t>
      </w:r>
      <w:r>
        <w:t xml:space="preserve">в случае предоставления участка</w:t>
      </w:r>
      <w:r>
        <w:t xml:space="preserve"> </w:t>
      </w:r>
      <w:r>
        <w:rPr>
          <w:bCs/>
          <w:b/>
        </w:rPr>
        <w:t xml:space="preserve">юридическому лицу в соответствии с распоряжением высшего должностного лица субъекта РФ</w:t>
      </w:r>
      <w:r>
        <w:t xml:space="preserve"> </w:t>
      </w:r>
      <w:r>
        <w:t xml:space="preserve">для размещения объектов социально-культурного и коммунально-бытового назначения,</w:t>
      </w:r>
      <w:r>
        <w:t xml:space="preserve"> </w:t>
      </w:r>
      <w:r>
        <w:rPr>
          <w:bCs/>
          <w:b/>
        </w:rPr>
        <w:t xml:space="preserve">реализации масштабных инвестиционных проектов</w:t>
      </w:r>
      <w:r>
        <w:t xml:space="preserve"> </w:t>
      </w:r>
      <w:r>
        <w:t xml:space="preserve">— при условии соответствия проекта</w:t>
      </w:r>
      <w:r>
        <w:t xml:space="preserve"> </w:t>
      </w:r>
      <w:r>
        <w:rPr>
          <w:bCs/>
          <w:b/>
        </w:rPr>
        <w:t xml:space="preserve">критериям, установленным законами субъектов РФ</w:t>
      </w:r>
      <w:r>
        <w:t xml:space="preserve">.</w:t>
      </w:r>
      <w:r>
        <w:t xml:space="preserve"> </w:t>
      </w:r>
      <w:r>
        <w:rPr>
          <w:bCs/>
          <w:b/>
        </w:rPr>
        <w:t xml:space="preserve">[ПОДТВЕРЖДЕНО]</w:t>
      </w:r>
    </w:p>
    <w:p>
      <w:pPr>
        <w:pStyle w:val="BlockText"/>
      </w:pPr>
      <w:r>
        <w:rPr>
          <w:bCs/>
          <w:b/>
        </w:rPr>
        <w:t xml:space="preserve">Это и есть норма, которая «разблокирует» региональное законодательство.</w:t>
      </w:r>
      <w:r>
        <w:t xml:space="preserve"> </w:t>
      </w:r>
      <w:r>
        <w:t xml:space="preserve">ЗК РФ сам по себе критериев не устанавливает — он делает отсылку к закону субъекта. Именно поэтому ссылка только на ЗК РФ, без регионального закона, по условиям турнира считается ошибкой.</w:t>
      </w:r>
    </w:p>
    <w:p>
      <w:pPr>
        <w:pStyle w:val="FirstParagraph"/>
      </w:pPr>
      <w:r>
        <w:t xml:space="preserve">Смежные нормы: пп. 2 п. 2 ст. 39.6 ЗК РФ (МИП по распоряжению Правительства РФ) и</w:t>
      </w:r>
      <w:r>
        <w:t xml:space="preserve"> </w:t>
      </w:r>
      <w:r>
        <w:rPr>
          <w:bCs/>
          <w:b/>
        </w:rPr>
        <w:t xml:space="preserve">Постановление Правительства РФ от 29.12.2014 № 1603</w:t>
      </w:r>
      <w:r>
        <w:t xml:space="preserve"> </w:t>
      </w:r>
      <w:r>
        <w:t xml:space="preserve">— критерии для участков в</w:t>
      </w:r>
      <w:r>
        <w:t xml:space="preserve"> </w:t>
      </w:r>
      <w:r>
        <w:rPr>
          <w:bCs/>
          <w:b/>
        </w:rPr>
        <w:t xml:space="preserve">федеральной</w:t>
      </w:r>
      <w:r>
        <w:t xml:space="preserve"> </w:t>
      </w:r>
      <w:r>
        <w:t xml:space="preserve">собственности</w:t>
      </w:r>
      <w:r>
        <w:t xml:space="preserve"> </w:t>
      </w:r>
      <w:r>
        <w:rPr>
          <w:bCs/>
          <w:b/>
        </w:rPr>
        <w:t xml:space="preserve">[ПОДТВЕРЖДЕНО]</w:t>
      </w:r>
      <w:r>
        <w:t xml:space="preserve">. Нам этот трек не нужен, но на вопрос «а почему не федеральный уровень?» отвечать надо: участок областной/муниципальный, значит критерии задаёт субъект.</w:t>
      </w:r>
    </w:p>
    <w:bookmarkEnd w:id="28"/>
    <w:bookmarkStart w:id="29" w:name="Xacd6c5f51f12683363ae75be2e2b78077c63f36"/>
    <w:p>
      <w:pPr>
        <w:pStyle w:val="Heading3"/>
      </w:pPr>
      <w:r>
        <w:t xml:space="preserve">4.2. Региональное основание (Свердловская область)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9"/>
        <w:gridCol w:w="2851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регулирует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Закон Свердловской области от 07.07.2004 № 18-ОЗ «Об особенностях регулирования земельных отношений на территории Свердловской области», статья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Критерии, которым должен соответствовать масштабный инвестиционный проект (и объект социально-культурного и коммунально-бытового назначения) для предоставления участка в аренду без торгов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[ПОДТВЕРЖДЕНО]</w:t>
            </w:r>
            <w:r>
              <w:t xml:space="preserve"> </w:t>
            </w:r>
            <w:r>
              <w:t xml:space="preserve">— норма прямо названа Министерством инвестиций и развития Свердловской области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Постановление Правительства Свердловской области от 08.07.2016 № 484-ПП «О реализации статьи 30 Закона Свердловской области от 7 июля 2004 года № 18-ОЗ…»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Порядок</w:t>
            </w:r>
            <w:r>
              <w:t xml:space="preserve">: подача и рассмотрение заявления, перечень документов, Правительственная комиссия Свердловской области по оценке соответствия проекта критериям п. 1 и 2 ст. 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[ПОДТВЕРЖДЕНО]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Постановление Правительства Свердловской области от 16.07.2025 № 386-ПП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 в состав Правительственной комиссии, утверждённый ПП СО № 484-ПП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[ПОДТВЕРЖДЕНО]</w:t>
            </w:r>
            <w:r>
              <w:t xml:space="preserve"> </w:t>
            </w:r>
            <w:r>
              <w:t xml:space="preserve">— важно: подтверждает, что механизм</w:t>
            </w:r>
            <w:r>
              <w:t xml:space="preserve"> </w:t>
            </w:r>
            <w:r>
              <w:rPr>
                <w:bCs/>
                <w:b/>
              </w:rPr>
              <w:t xml:space="preserve">живой и применяется в 2025 году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Закон Свердловской области от 03.11.2017 № 116-ОЗ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Внесение изменений в статью 30 Закона № 18-ОЗ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[СВЕРИТЬ]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Постановление Правительства Свердловской области № 302-ПП (2017)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Внесение изменений в ПП СО № 484-ПП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[СВЕРИТЬ полные реквизиты]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Механизм действует в Свердловской области с 2016 года.</w:t>
      </w:r>
    </w:p>
    <w:bookmarkEnd w:id="29"/>
    <w:bookmarkStart w:id="30" w:name="Xb9f7e1f91e224a8a66447600e59458701007cb6"/>
    <w:p>
      <w:pPr>
        <w:pStyle w:val="Heading3"/>
      </w:pPr>
      <w:r>
        <w:t xml:space="preserve">4.3. Критерии ст. 30 Закона СО № 18-ОЗ — таблица соответствия проекта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Все цифры в столбце «Порог» — [СВЕРИТЬ] по действующей редакции ст. 30.</w:t>
      </w:r>
      <w:r>
        <w:t xml:space="preserve"> </w:t>
      </w:r>
      <w:r>
        <w:t xml:space="preserve">По данным инвестпорталов пороги построены как трёхступенчатая шкала в зависимости от типа территории размещения.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3009"/>
        <w:gridCol w:w="1900"/>
        <w:gridCol w:w="14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(ориентировочно,</w:t>
            </w:r>
            <w:r>
              <w:t xml:space="preserve"> </w:t>
            </w:r>
            <w:r>
              <w:rPr>
                <w:bCs/>
                <w:b/>
              </w:rPr>
              <w:t xml:space="preserve">требует сверки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Наш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капитальных вложений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поселение в составе МР — меньший порог; межселенная территория / городской округ (кроме Екатеринбурга) —</w:t>
            </w:r>
            <w:r>
              <w:t xml:space="preserve"> </w:t>
            </w:r>
            <w:r>
              <w:rPr>
                <w:bCs/>
                <w:b/>
              </w:rPr>
              <w:t xml:space="preserve">≥ 200 млн руб.</w:t>
            </w:r>
            <w:r>
              <w:t xml:space="preserve">; МО «город Екатеринбург» —</w:t>
            </w:r>
            <w:r>
              <w:t xml:space="preserve"> </w:t>
            </w:r>
            <w:r>
              <w:rPr>
                <w:bCs/>
                <w:b/>
              </w:rPr>
              <w:t xml:space="preserve">≥ 400 млн руб.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4 500 млн руб.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×11 к максимальному порогу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создаваемых рабочих мест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поселение в составе МР —</w:t>
            </w:r>
            <w:r>
              <w:t xml:space="preserve"> </w:t>
            </w:r>
            <w:r>
              <w:rPr>
                <w:bCs/>
                <w:b/>
              </w:rPr>
              <w:t xml:space="preserve">≥ 50</w:t>
            </w:r>
            <w:r>
              <w:t xml:space="preserve">; межселенная территория / городской округ —</w:t>
            </w:r>
            <w:r>
              <w:t xml:space="preserve"> </w:t>
            </w:r>
            <w:r>
              <w:rPr>
                <w:bCs/>
                <w:b/>
              </w:rPr>
              <w:t xml:space="preserve">≥ 100</w:t>
            </w:r>
            <w:r>
              <w:t xml:space="preserve">; МО «город Екатеринбург» —</w:t>
            </w:r>
            <w:r>
              <w:t xml:space="preserve"> </w:t>
            </w:r>
            <w:r>
              <w:rPr>
                <w:bCs/>
                <w:b/>
              </w:rPr>
              <w:t xml:space="preserve">≥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заполнить по бизнес-плану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Соответствие приоритетам социально-экономического развития области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качественный 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производство гражданских БАС — прямой приоритет федеральной</w:t>
            </w:r>
            <w:r>
              <w:t xml:space="preserve"> </w:t>
            </w:r>
            <w:r>
              <w:rPr>
                <w:bCs/>
                <w:b/>
              </w:rPr>
              <w:t xml:space="preserve">Стратегии развития беспилотных авиационных систем до 2030 года</w:t>
            </w:r>
            <w:r>
              <w:t xml:space="preserve"> </w:t>
            </w:r>
            <w:r>
              <w:t xml:space="preserve">и профильного национального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Главный тезис защиты по этому пункту:</w:t>
      </w:r>
    </w:p>
    <w:p>
      <w:pPr>
        <w:pStyle w:val="BlockText"/>
      </w:pPr>
      <w:r>
        <w:t xml:space="preserve">«Наш проект проходит критерии</w:t>
      </w:r>
      <w:r>
        <w:t xml:space="preserve"> </w:t>
      </w:r>
      <w:r>
        <w:rPr>
          <w:bCs/>
          <w:b/>
        </w:rPr>
        <w:t xml:space="preserve">ст. 30 Закона Свердловской области № 18-ОЗ</w:t>
      </w:r>
      <w:r>
        <w:t xml:space="preserve"> </w:t>
      </w:r>
      <w:r>
        <w:t xml:space="preserve">не</w:t>
      </w:r>
      <w:r>
        <w:t xml:space="preserve"> </w:t>
      </w:r>
      <w:r>
        <w:t xml:space="preserve">“</w:t>
      </w:r>
      <w:r>
        <w:t xml:space="preserve">впритык</w:t>
      </w:r>
      <w:r>
        <w:t xml:space="preserve">”</w:t>
      </w:r>
      <w:r>
        <w:t xml:space="preserve">, а с десятикратным запасом по капитальным вложениям. Это значит, что риск отказа Правительственной комиссии по формальному несоответствию критериям у нас практически отсутствует. Оставшийся риск — не в критериях, а в качестве участка, и мы его закрыли на этапе отбора площадки».</w:t>
      </w:r>
    </w:p>
    <w:bookmarkEnd w:id="30"/>
    <w:bookmarkStart w:id="31" w:name="X201554b823f0827edf54c8ea4d954b665a07c46"/>
    <w:p>
      <w:pPr>
        <w:pStyle w:val="Heading3"/>
      </w:pPr>
      <w:r>
        <w:t xml:space="preserve">4.4. Дополнительный содержательный аргумент — отраслевой приоритет</w:t>
      </w:r>
    </w:p>
    <w:p>
      <w:pPr>
        <w:pStyle w:val="FirstParagraph"/>
      </w:pPr>
      <w:r>
        <w:t xml:space="preserve">Свердловская область вошла в число регионов, где создаётся</w:t>
      </w:r>
      <w:r>
        <w:t xml:space="preserve"> </w:t>
      </w:r>
      <w:r>
        <w:rPr>
          <w:bCs/>
          <w:b/>
        </w:rPr>
        <w:t xml:space="preserve">научно-производственный центр беспилотных авиационных систем (НПЦ БАС)</w:t>
      </w:r>
      <w:r>
        <w:t xml:space="preserve"> </w:t>
      </w:r>
      <w:r>
        <w:t xml:space="preserve">с федеральным софинансированием, в рамках</w:t>
      </w:r>
      <w:r>
        <w:t xml:space="preserve"> </w:t>
      </w:r>
      <w:r>
        <w:rPr>
          <w:bCs/>
          <w:b/>
        </w:rPr>
        <w:t xml:space="preserve">Стратегии развития беспилотной авиации до 2030 года</w:t>
      </w:r>
      <w:r>
        <w:t xml:space="preserve">; задача центра — полный цикл от разработки БАС до сертификации и серийного производства</w:t>
      </w:r>
      <w:r>
        <w:t xml:space="preserve"> </w:t>
      </w:r>
      <w:r>
        <w:rPr>
          <w:bCs/>
          <w:b/>
        </w:rPr>
        <w:t xml:space="preserve">[СВЕРИТЬ текущий статус и реквизиты регионального акта о создании НПЦ]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Как это использовать:</w:t>
      </w:r>
      <w:r>
        <w:t xml:space="preserve"> </w:t>
      </w:r>
      <w:r>
        <w:t xml:space="preserve">это не самостоятельное правовое основание, но это</w:t>
      </w:r>
      <w:r>
        <w:t xml:space="preserve"> </w:t>
      </w:r>
      <w:r>
        <w:rPr>
          <w:bCs/>
          <w:b/>
        </w:rPr>
        <w:t xml:space="preserve">аргумент в пользу признания проекта МИП</w:t>
      </w:r>
      <w:r>
        <w:t xml:space="preserve"> </w:t>
      </w:r>
      <w:r>
        <w:t xml:space="preserve">на Правительственной комиссии и аргумент для GR. Проект не просто проходит пороги — он ложится в уже заявленную регионом отраслевую специализацию.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ebdfdc914f047cd00f747b155b1d5221c36f5c5"/>
    <w:p>
      <w:pPr>
        <w:pStyle w:val="Heading2"/>
      </w:pPr>
      <w:r>
        <w:t xml:space="preserve">5. Альтернативные правовые схемы получения земли (слайд «План Б»)</w:t>
      </w:r>
    </w:p>
    <w:bookmarkStart w:id="33" w:name="резидент-оэз-ппт-титановая-долина"/>
    <w:p>
      <w:pPr>
        <w:pStyle w:val="Heading3"/>
      </w:pPr>
      <w:r>
        <w:t xml:space="preserve">5.1. Резидент ОЭЗ ППТ «Титановая долина»</w:t>
      </w:r>
    </w:p>
    <w:p>
      <w:pPr>
        <w:numPr>
          <w:ilvl w:val="0"/>
          <w:numId w:val="1008"/>
        </w:numPr>
        <w:pStyle w:val="Compact"/>
      </w:pPr>
      <w:r>
        <w:t xml:space="preserve">Основание аренды без торгов:</w:t>
      </w:r>
      <w:r>
        <w:t xml:space="preserve"> </w:t>
      </w:r>
      <w:r>
        <w:rPr>
          <w:bCs/>
          <w:b/>
        </w:rPr>
        <w:t xml:space="preserve">ст. 39.6 ЗК РФ</w:t>
      </w:r>
      <w:r>
        <w:t xml:space="preserve"> </w:t>
      </w:r>
      <w:r>
        <w:t xml:space="preserve">(предоставление участка в границах ОЭЗ резиденту ОЭЗ или управляющей компании)</w:t>
      </w:r>
      <w:r>
        <w:t xml:space="preserve"> </w:t>
      </w:r>
      <w:r>
        <w:rPr>
          <w:bCs/>
          <w:b/>
        </w:rPr>
        <w:t xml:space="preserve">[СВЕРИТЬ точный подпункт п. 2 ст. 39.6 по действующей редакции]</w:t>
      </w:r>
      <w:r>
        <w:t xml:space="preserve">;</w:t>
      </w:r>
      <w:r>
        <w:t xml:space="preserve"> </w:t>
      </w:r>
      <w:r>
        <w:rPr>
          <w:bCs/>
          <w:b/>
        </w:rPr>
        <w:t xml:space="preserve">Федеральный закон от 22.07.2005 № 116-ФЗ «Об особых экономических зонах в Российской Федерации»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Процедура: заявка → бизнес-план →</w:t>
      </w:r>
      <w:r>
        <w:t xml:space="preserve"> </w:t>
      </w:r>
      <w:r>
        <w:rPr>
          <w:bCs/>
          <w:b/>
        </w:rPr>
        <w:t xml:space="preserve">экспертный совет</w:t>
      </w:r>
      <w:r>
        <w:t xml:space="preserve"> </w:t>
      </w:r>
      <w:r>
        <w:t xml:space="preserve">→ трёхстороннее соглашение об осуществлении деятельности (Минининвестиций СО — резидент — управляющая компания АО «ОЭЗ</w:t>
      </w:r>
      <w:r>
        <w:t xml:space="preserve"> </w:t>
      </w:r>
      <w:r>
        <w:t xml:space="preserve">“</w:t>
      </w:r>
      <w:r>
        <w:t xml:space="preserve">Титановая долина</w:t>
      </w:r>
      <w:r>
        <w:t xml:space="preserve">”</w:t>
      </w:r>
      <w:r>
        <w:t xml:space="preserve">»).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Плюс:</w:t>
      </w:r>
      <w:r>
        <w:t xml:space="preserve"> </w:t>
      </w:r>
      <w:r>
        <w:t xml:space="preserve">земля подготовлена, сети подведены, процедура предсказуема, и для БАС критично — площадка «Уктус» на территории бывшего аэродрома.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Минус:</w:t>
      </w:r>
      <w:r>
        <w:t xml:space="preserve"> </w:t>
      </w:r>
      <w:r>
        <w:t xml:space="preserve">это</w:t>
      </w:r>
      <w:r>
        <w:t xml:space="preserve"> </w:t>
      </w:r>
      <w:r>
        <w:rPr>
          <w:bCs/>
          <w:b/>
        </w:rPr>
        <w:t xml:space="preserve">не схема МИП</w:t>
      </w:r>
      <w:r>
        <w:t xml:space="preserve">. Если берёте ОЭЗ основным вариантом — переписывайте раздел 4 под 116-ФЗ, иначе получите замечание жюри о несоответствии обоснования выбранной площадке.</w:t>
      </w:r>
    </w:p>
    <w:bookmarkEnd w:id="33"/>
    <w:bookmarkStart w:id="34" w:name="резидент-тосэр"/>
    <w:p>
      <w:pPr>
        <w:pStyle w:val="Heading3"/>
      </w:pPr>
      <w:r>
        <w:t xml:space="preserve">5.2. Резидент ТОСЭР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Федеральный закон от 29.12.2014 № 473-ФЗ «О территориях опережающего развития в Российской Федерации»</w:t>
      </w:r>
      <w:r>
        <w:t xml:space="preserve">; предоставление участка резиденту ТОР без торгов.</w:t>
      </w:r>
    </w:p>
    <w:p>
      <w:pPr>
        <w:numPr>
          <w:ilvl w:val="0"/>
          <w:numId w:val="1009"/>
        </w:numPr>
        <w:pStyle w:val="Compact"/>
      </w:pPr>
      <w:r>
        <w:t xml:space="preserve">Площадки в области: Краснотурьинск, Новоуральск, Лесной</w:t>
      </w:r>
      <w:r>
        <w:t xml:space="preserve"> </w:t>
      </w:r>
      <w:r>
        <w:rPr>
          <w:bCs/>
          <w:b/>
        </w:rPr>
        <w:t xml:space="preserve">[СВЕРИТЬ действующий статус и срок режима]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Риск:</w:t>
      </w:r>
      <w:r>
        <w:t xml:space="preserve"> </w:t>
      </w:r>
      <w:r>
        <w:t xml:space="preserve">истечение срока режима ТОСЭР и ограничения ЗАТО. Для проекта на 24 месяца и 4,5 млрд руб. — повышенный.</w:t>
      </w:r>
    </w:p>
    <w:bookmarkEnd w:id="34"/>
    <w:bookmarkStart w:id="35" w:name="аренда-без-торгов-под-импортозамещение"/>
    <w:p>
      <w:pPr>
        <w:pStyle w:val="Heading3"/>
      </w:pPr>
      <w:r>
        <w:t xml:space="preserve">5.3. Аренда без торгов под импортозамещение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Постановление Правительства РФ от 09.04.2022 № 629</w:t>
      </w:r>
      <w:r>
        <w:t xml:space="preserve"> </w:t>
      </w:r>
      <w:r>
        <w:t xml:space="preserve">— предоставление участков в аренду без торгов российским юридическим лицам для производства</w:t>
      </w:r>
      <w:r>
        <w:t xml:space="preserve"> </w:t>
      </w:r>
      <w:r>
        <w:rPr>
          <w:bCs/>
          <w:b/>
        </w:rPr>
        <w:t xml:space="preserve">импортозамещающей продукции</w:t>
      </w:r>
      <w:r>
        <w:t xml:space="preserve">;</w:t>
      </w:r>
      <w:r>
        <w:t xml:space="preserve"> </w:t>
      </w:r>
      <w:r>
        <w:rPr>
          <w:bCs/>
          <w:b/>
        </w:rPr>
        <w:t xml:space="preserve">перечень такой продукции утверждается решением органа государственной власти субъекта РФ</w:t>
      </w:r>
      <w:r>
        <w:t xml:space="preserve"> </w:t>
      </w:r>
      <w:r>
        <w:rPr>
          <w:bCs/>
          <w:b/>
        </w:rPr>
        <w:t xml:space="preserve">[ПОДТВЕРЖДЕНО]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Две особенности, о которых надо знать:</w:t>
      </w:r>
      <w:r>
        <w:t xml:space="preserve"> </w:t>
      </w:r>
      <w:r>
        <w:rPr>
          <w:bCs/>
          <w:b/>
        </w:rPr>
        <w:t xml:space="preserve">изменение ВРИ такого участка не допускается</w:t>
      </w:r>
      <w:r>
        <w:t xml:space="preserve">; предоставление возможно независимо от содержания документации по планировке территории (кроме случаев, когда деятельность в зоне не допускается).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Что проверить:</w:t>
      </w:r>
      <w:r>
        <w:t xml:space="preserve"> </w:t>
      </w:r>
      <w:r>
        <w:t xml:space="preserve">утверждён ли в Свердловской области перечень импортозамещающей продукции и попадают ли в него БАС и комплектующие.</w:t>
      </w:r>
      <w:r>
        <w:t xml:space="preserve"> </w:t>
      </w:r>
      <w:r>
        <w:rPr>
          <w:bCs/>
          <w:b/>
        </w:rPr>
        <w:t xml:space="preserve">Найти этот перечень мне не удалось — требуется проверка.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Судебная практика (важно для ответа жюри):</w:t>
      </w:r>
      <w:r>
        <w:t xml:space="preserve"> </w:t>
      </w:r>
      <w:r>
        <w:t xml:space="preserve">кассация указывала, что одной ссылки на намерение производить импортозамещающую продукцию недостаточно — нужно подтвердить</w:t>
      </w:r>
      <w:r>
        <w:t xml:space="preserve"> </w:t>
      </w:r>
      <w:r>
        <w:rPr>
          <w:bCs/>
          <w:b/>
        </w:rPr>
        <w:t xml:space="preserve">фактическую возможность</w:t>
      </w:r>
      <w:r>
        <w:t xml:space="preserve"> </w:t>
      </w:r>
      <w:r>
        <w:t xml:space="preserve">такой деятельности. Спор по этому механизму доходил до Верховного Суда РФ.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Статус нормы:</w:t>
      </w:r>
      <w:r>
        <w:t xml:space="preserve"> </w:t>
      </w:r>
      <w:r>
        <w:t xml:space="preserve">механизм вводился как антикризисный и неоднократно продлевался.</w:t>
      </w:r>
      <w:r>
        <w:t xml:space="preserve"> </w:t>
      </w:r>
      <w:r>
        <w:rPr>
          <w:bCs/>
          <w:b/>
        </w:rPr>
        <w:t xml:space="preserve">Срок действия на сегодня — [СВЕРИТЬ обязательно]</w:t>
      </w:r>
      <w:r>
        <w:t xml:space="preserve">, это первый вопрос, который задаст грамотное жюри.</w:t>
      </w:r>
    </w:p>
    <w:bookmarkEnd w:id="35"/>
    <w:bookmarkStart w:id="36" w:name="аукцион-ст.-39.1139.13-зк-рф"/>
    <w:p>
      <w:pPr>
        <w:pStyle w:val="Heading3"/>
      </w:pPr>
      <w:r>
        <w:t xml:space="preserve">5.4. Аукцион (ст. 39.11–39.13 ЗК РФ)</w:t>
      </w:r>
    </w:p>
    <w:p>
      <w:pPr>
        <w:pStyle w:val="FirstParagraph"/>
      </w:pPr>
      <w:r>
        <w:t xml:space="preserve">Резервный вариант. Упомянуть одной строкой: «если в предоставлении без торгов отказано — идём на аукцион, но теряем 2–4 месяца и получаем ценовой риск от конкурентной заявки». Показывает, что команда просчитала негативный сценарий.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d8ea60adea50db2eb06acdb893242c473063c5a"/>
    <w:p>
      <w:pPr>
        <w:pStyle w:val="Heading2"/>
      </w:pPr>
      <w:r>
        <w:t xml:space="preserve">6. Процедура получения участка в аренду без торгов (МИП) — пошагово</w:t>
      </w:r>
    </w:p>
    <w:p>
      <w:pPr>
        <w:pStyle w:val="BlockText"/>
      </w:pPr>
      <w:r>
        <w:t xml:space="preserve">Сроки по ЗК РФ подтверждены;</w:t>
      </w:r>
      <w:r>
        <w:t xml:space="preserve"> </w:t>
      </w:r>
      <w:r>
        <w:rPr>
          <w:bCs/>
          <w:b/>
        </w:rPr>
        <w:t xml:space="preserve">сроки регионального этапа (комиссия, распоряжение Губернатора) нужно взять из ПП СО № 484-ПП</w:t>
      </w:r>
      <w:r>
        <w:t xml:space="preserve"> </w:t>
      </w:r>
      <w:r>
        <w:t xml:space="preserve">— найти точный текст мне не удалось.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2"/>
        <w:gridCol w:w="2692"/>
        <w:gridCol w:w="2455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участка на ПКК и в ЕГРН, проверка ПЗЗ и ЗОУИТ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ст. 39.16 ЗК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участок не образован — утверждение</w:t>
            </w:r>
            <w:r>
              <w:t xml:space="preserve"> </w:t>
            </w:r>
            <w:r>
              <w:rPr>
                <w:bCs/>
                <w:b/>
              </w:rPr>
              <w:t xml:space="preserve">схемы расположения</w:t>
            </w:r>
            <w:r>
              <w:t xml:space="preserve"> </w:t>
            </w:r>
            <w:r>
              <w:t xml:space="preserve">/ подготовка ППТ и ПМТ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ст. 11.3,</w:t>
            </w:r>
            <w:r>
              <w:t xml:space="preserve"> </w:t>
            </w:r>
            <w:r>
              <w:rPr>
                <w:bCs/>
                <w:b/>
              </w:rPr>
              <w:t xml:space="preserve">ст. 11.10 ЗК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 мес.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Предварительное согласование</w:t>
            </w:r>
            <w:r>
              <w:t xml:space="preserve"> </w:t>
            </w:r>
            <w:r>
              <w:t xml:space="preserve">предоставления участка (если участок предстоит образовать)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ст. 39.15 ЗК РФ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 20 дней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до 35 дней</w:t>
            </w:r>
            <w:r>
              <w:t xml:space="preserve">, если схема подлежит согласованию по ст. 3.5 ФЗ № 137-ФЗ</w:t>
            </w:r>
            <w:r>
              <w:t xml:space="preserve"> </w:t>
            </w:r>
            <w:r>
              <w:rPr>
                <w:bCs/>
                <w:b/>
              </w:rPr>
              <w:t xml:space="preserve">[ПОДТВЕРЖДЕНО]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Кадастровый учёт образованного участка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ФЗ от 13.07.2015 № 218-ФЗ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 мес.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Подача заявления</w:t>
            </w:r>
            <w:r>
              <w:t xml:space="preserve"> </w:t>
            </w:r>
            <w:r>
              <w:t xml:space="preserve">о признании проекта масштабным инвестиционным: бизнес-план, подтверждение объёма вложений, количества рабочих мест, сведения об участке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ст. 30 Закона СО № 18-ОЗ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ПП СО № 484-ПП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Правительственная комиссия Свердловской области</w:t>
            </w:r>
            <w:r>
              <w:t xml:space="preserve"> </w:t>
            </w:r>
            <w:r>
              <w:t xml:space="preserve">оценивает соответствие проекта критериям п. 1 и 2 ст. 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ПП СО № 484-ПП</w:t>
            </w:r>
            <w:r>
              <w:t xml:space="preserve"> </w:t>
            </w:r>
            <w:r>
              <w:t xml:space="preserve">(состав — в ред. ПП СО от 16.07.2025 № 386-ПП)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[СВЕРИТЬ по 484-ПП]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Распоряжение высшего должностного лица Свердловской области (Губернатора)</w:t>
            </w:r>
            <w:r>
              <w:t xml:space="preserve"> </w:t>
            </w:r>
            <w:r>
              <w:t xml:space="preserve">о предоставлении участка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пп. 3 п. 2 ст. 39.6 ЗК РФ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[СВЕРИТЬ]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Заявление о предоставлении участка без торгов в уполномоченный орган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ст. 39.14, 39.17 ЗК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заявления при несоответствии —</w:t>
            </w:r>
            <w:r>
              <w:t xml:space="preserve"> </w:t>
            </w:r>
            <w:r>
              <w:rPr>
                <w:bCs/>
                <w:b/>
              </w:rPr>
              <w:t xml:space="preserve">в течение 10 дней</w:t>
            </w:r>
            <w:r>
              <w:t xml:space="preserve">; решение —</w:t>
            </w:r>
            <w:r>
              <w:t xml:space="preserve"> </w:t>
            </w:r>
            <w:r>
              <w:rPr>
                <w:bCs/>
                <w:b/>
              </w:rPr>
              <w:t xml:space="preserve">[СВЕРИТЬ действующую редакцию п. 5 ст. 39.17]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 договора аренды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ст. 39.8 ЗК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Государственная регистрация договора аренды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ФЗ № 218-ФЗ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 недель</w:t>
            </w:r>
          </w:p>
        </w:tc>
      </w:tr>
    </w:tbl>
    <w:p>
      <w:pPr>
        <w:pStyle w:val="BodyText"/>
      </w:pPr>
      <w:r>
        <w:rPr>
          <w:bCs/>
          <w:b/>
        </w:rPr>
        <w:t xml:space="preserve">Уполномоченный орган — кто именно предоставляет землю:</w:t>
      </w:r>
    </w:p>
    <w:p>
      <w:pPr>
        <w:numPr>
          <w:ilvl w:val="0"/>
          <w:numId w:val="1011"/>
        </w:numPr>
        <w:pStyle w:val="Compact"/>
      </w:pPr>
      <w:r>
        <w:t xml:space="preserve">участки в</w:t>
      </w:r>
      <w:r>
        <w:t xml:space="preserve"> </w:t>
      </w:r>
      <w:r>
        <w:rPr>
          <w:bCs/>
          <w:b/>
        </w:rPr>
        <w:t xml:space="preserve">собственности Свердловской области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Министерство по управлению государственным имуществом Свердловской области (МУГИСО)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участки в</w:t>
      </w:r>
      <w:r>
        <w:t xml:space="preserve"> </w:t>
      </w:r>
      <w:r>
        <w:rPr>
          <w:bCs/>
          <w:b/>
        </w:rPr>
        <w:t xml:space="preserve">муниципальной собственности</w:t>
      </w:r>
      <w:r>
        <w:t xml:space="preserve"> </w:t>
      </w:r>
      <w:r>
        <w:t xml:space="preserve">и участки,</w:t>
      </w:r>
      <w:r>
        <w:t xml:space="preserve"> </w:t>
      </w:r>
      <w:r>
        <w:rPr>
          <w:bCs/>
          <w:b/>
        </w:rPr>
        <w:t xml:space="preserve">государственная собственность на которые не разграничена</w:t>
      </w:r>
      <w:r>
        <w:t xml:space="preserve">, — как правило,</w:t>
      </w:r>
      <w:r>
        <w:t xml:space="preserve"> </w:t>
      </w:r>
      <w:r>
        <w:rPr>
          <w:bCs/>
          <w:b/>
        </w:rPr>
        <w:t xml:space="preserve">органы местного самоуправления</w:t>
      </w:r>
      <w:r>
        <w:t xml:space="preserve"> </w:t>
      </w:r>
      <w:r>
        <w:t xml:space="preserve">соответствующего муниципального образования (</w:t>
      </w:r>
      <w:r>
        <w:rPr>
          <w:bCs/>
          <w:b/>
        </w:rPr>
        <w:t xml:space="preserve">ст. 39.2 ЗК РФ</w:t>
      </w:r>
      <w:r>
        <w:t xml:space="preserve">);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по городу Екатеринбургу</w:t>
      </w:r>
      <w:r>
        <w:t xml:space="preserve"> </w:t>
      </w:r>
      <w:r>
        <w:t xml:space="preserve">полномочия по распоряжению неразграниченными землями передавались на областной уровень (МУГИСО) законом области и затем продлевались.</w:t>
      </w:r>
      <w:r>
        <w:t xml:space="preserve"> </w:t>
      </w:r>
      <w:r>
        <w:rPr>
          <w:bCs/>
          <w:b/>
        </w:rPr>
        <w:t xml:space="preserve">[СВЕРИТЬ, у кого полномочия сейчас]</w:t>
      </w:r>
      <w:r>
        <w:t xml:space="preserve"> </w:t>
      </w:r>
      <w:r>
        <w:t xml:space="preserve">— это прямой вопрос «а кому вы подаёте заявление?», и ошибиться здесь нельзя.</w:t>
      </w:r>
    </w:p>
    <w:p>
      <w:pPr>
        <w:pStyle w:val="FirstParagraph"/>
      </w:pPr>
      <w:r>
        <w:rPr>
          <w:bCs/>
          <w:b/>
        </w:rPr>
        <w:t xml:space="preserve">Реалистичная оценка общего срока:</w:t>
      </w:r>
    </w:p>
    <w:p>
      <w:pPr>
        <w:numPr>
          <w:ilvl w:val="0"/>
          <w:numId w:val="1012"/>
        </w:numPr>
        <w:pStyle w:val="Compact"/>
      </w:pPr>
      <w:r>
        <w:t xml:space="preserve">участок</w:t>
      </w:r>
      <w:r>
        <w:t xml:space="preserve"> </w:t>
      </w:r>
      <w:r>
        <w:rPr>
          <w:bCs/>
          <w:b/>
        </w:rPr>
        <w:t xml:space="preserve">уже сформирован</w:t>
      </w:r>
      <w:r>
        <w:t xml:space="preserve">, категория и ВРИ подходят →</w:t>
      </w:r>
      <w:r>
        <w:t xml:space="preserve"> </w:t>
      </w:r>
      <w:r>
        <w:rPr>
          <w:bCs/>
          <w:b/>
        </w:rPr>
        <w:t xml:space="preserve">3–5 месяцев</w:t>
      </w:r>
      <w:r>
        <w:t xml:space="preserve"> </w:t>
      </w:r>
      <w:r>
        <w:t xml:space="preserve">до договора аренды;</w:t>
      </w:r>
    </w:p>
    <w:p>
      <w:pPr>
        <w:numPr>
          <w:ilvl w:val="0"/>
          <w:numId w:val="1012"/>
        </w:numPr>
        <w:pStyle w:val="Compact"/>
      </w:pPr>
      <w:r>
        <w:t xml:space="preserve">участок</w:t>
      </w:r>
      <w:r>
        <w:t xml:space="preserve"> </w:t>
      </w:r>
      <w:r>
        <w:rPr>
          <w:bCs/>
          <w:b/>
        </w:rPr>
        <w:t xml:space="preserve">нужно образовывать</w:t>
      </w:r>
      <w:r>
        <w:t xml:space="preserve"> </w:t>
      </w:r>
      <w:r>
        <w:t xml:space="preserve">и/или</w:t>
      </w:r>
      <w:r>
        <w:t xml:space="preserve"> </w:t>
      </w:r>
      <w:r>
        <w:rPr>
          <w:bCs/>
          <w:b/>
        </w:rPr>
        <w:t xml:space="preserve">менять категорию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9–15 месяцев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Вывод для слайда (прямо связать с ТЗ):</w:t>
      </w:r>
      <w:r>
        <w:t xml:space="preserve"> </w:t>
      </w:r>
      <w:r>
        <w:t xml:space="preserve">«Срок ТЗ — 24 месяца до запуска производства. Строительство цеха и склада класса</w:t>
      </w:r>
      <w:r>
        <w:t xml:space="preserve"> </w:t>
      </w:r>
      <w:r>
        <w:t xml:space="preserve">“</w:t>
      </w:r>
      <w:r>
        <w:t xml:space="preserve">А</w:t>
      </w:r>
      <w:r>
        <w:t xml:space="preserve">”</w:t>
      </w:r>
      <w:r>
        <w:t xml:space="preserve"> </w:t>
      </w:r>
      <w:r>
        <w:t xml:space="preserve">на 45 000 кв. м — это 14–18 месяцев. Значит, на всю земельно-правовую часть у нас</w:t>
      </w:r>
      <w:r>
        <w:t xml:space="preserve"> </w:t>
      </w:r>
      <w:r>
        <w:rPr>
          <w:bCs/>
          <w:b/>
        </w:rPr>
        <w:t xml:space="preserve">не более 5–6 месяцев</w:t>
      </w:r>
      <w:r>
        <w:t xml:space="preserve">. Это и есть причина, по которой мы берём</w:t>
      </w:r>
      <w:r>
        <w:t xml:space="preserve"> </w:t>
      </w:r>
      <w:r>
        <w:rPr>
          <w:bCs/>
          <w:b/>
        </w:rPr>
        <w:t xml:space="preserve">сформированный участок с готовой категорией и ВРИ</w:t>
      </w:r>
      <w:r>
        <w:t xml:space="preserve">, а не дешёвый greenfield из земель сельхозназначения».</w:t>
      </w:r>
    </w:p>
    <w:p>
      <w:r>
        <w:pict>
          <v:rect style="width:0;height:1.5pt" o:hralign="center" o:hrstd="t" o:hr="t"/>
        </w:pict>
      </w:r>
    </w:p>
    <w:bookmarkEnd w:id="38"/>
    <w:bookmarkStart w:id="39" w:name="X8e58a6c6de42c383dfe72a0f8290d9c4bd40da2"/>
    <w:p>
      <w:pPr>
        <w:pStyle w:val="Heading2"/>
      </w:pPr>
      <w:r>
        <w:t xml:space="preserve">7. Условия договора аренды и ограничения схемы МИП</w:t>
      </w:r>
    </w:p>
    <w:p>
      <w:pPr>
        <w:pStyle w:val="FirstParagraph"/>
      </w:pPr>
      <w:r>
        <w:rPr>
          <w:bCs/>
          <w:b/>
        </w:rPr>
        <w:t xml:space="preserve">Срок аренды.</w:t>
      </w:r>
      <w:r>
        <w:t xml:space="preserve"> </w:t>
      </w:r>
      <w:r>
        <w:t xml:space="preserve">По</w:t>
      </w:r>
      <w:r>
        <w:t xml:space="preserve"> </w:t>
      </w:r>
      <w:r>
        <w:rPr>
          <w:bCs/>
          <w:b/>
        </w:rPr>
        <w:t xml:space="preserve">пп. 1 п. 8 ст. 39.8 ЗК РФ</w:t>
      </w:r>
      <w:r>
        <w:t xml:space="preserve"> </w:t>
      </w:r>
      <w:r>
        <w:t xml:space="preserve">договор аренды для строительства, реконструкции зданий и сооружений заключается на срок</w:t>
      </w:r>
      <w:r>
        <w:t xml:space="preserve"> </w:t>
      </w:r>
      <w:r>
        <w:rPr>
          <w:bCs/>
          <w:b/>
        </w:rPr>
        <w:t xml:space="preserve">от 3 до 10 лет</w:t>
      </w:r>
      <w:r>
        <w:t xml:space="preserve">. Для проекта с горизонтом строительства 24 месяца запрашиваем срок с запасом — под строительство, ввод и выход на проектную мощность.</w:t>
      </w:r>
    </w:p>
    <w:p>
      <w:pPr>
        <w:pStyle w:val="BodyText"/>
      </w:pPr>
      <w:r>
        <w:rPr>
          <w:bCs/>
          <w:b/>
        </w:rPr>
        <w:t xml:space="preserve">Обязательные условия договора (ст. 39.8 ЗК РФ).</w:t>
      </w:r>
      <w:r>
        <w:t xml:space="preserve"> </w:t>
      </w:r>
      <w:r>
        <w:t xml:space="preserve">Договор должен содержать указание на</w:t>
      </w:r>
      <w:r>
        <w:t xml:space="preserve"> </w:t>
      </w:r>
      <w:r>
        <w:rPr>
          <w:bCs/>
          <w:b/>
        </w:rPr>
        <w:t xml:space="preserve">категорию земель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вид (виды) разрешённого использования</w:t>
      </w:r>
      <w:r>
        <w:t xml:space="preserve"> </w:t>
      </w:r>
      <w:r>
        <w:t xml:space="preserve">участка</w:t>
      </w:r>
      <w:r>
        <w:t xml:space="preserve"> </w:t>
      </w:r>
      <w:r>
        <w:rPr>
          <w:bCs/>
          <w:b/>
        </w:rPr>
        <w:t xml:space="preserve">[ПОДТВЕРЖДЕНО]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Ограничения, характерные для «инвестиционных» участков — проверить по ст. 39.8 ЗК РФ и по ПП СО № 484-ПП [СВЕРИТЬ]:</w:t>
      </w:r>
    </w:p>
    <w:p>
      <w:pPr>
        <w:numPr>
          <w:ilvl w:val="0"/>
          <w:numId w:val="1013"/>
        </w:numPr>
        <w:pStyle w:val="Compact"/>
      </w:pPr>
      <w:r>
        <w:t xml:space="preserve">запрет или ограничение на</w:t>
      </w:r>
      <w:r>
        <w:t xml:space="preserve"> </w:t>
      </w:r>
      <w:r>
        <w:rPr>
          <w:bCs/>
          <w:b/>
        </w:rPr>
        <w:t xml:space="preserve">передачу прав и обязанностей</w:t>
      </w:r>
      <w:r>
        <w:t xml:space="preserve"> </w:t>
      </w:r>
      <w:r>
        <w:t xml:space="preserve">по договору третьим лицам и на</w:t>
      </w:r>
      <w:r>
        <w:t xml:space="preserve"> </w:t>
      </w:r>
      <w:r>
        <w:rPr>
          <w:bCs/>
          <w:b/>
        </w:rPr>
        <w:t xml:space="preserve">субаренду</w:t>
      </w:r>
      <w:r>
        <w:t xml:space="preserve"> </w:t>
      </w:r>
      <w:r>
        <w:t xml:space="preserve">до завершения проекта;</w:t>
      </w:r>
    </w:p>
    <w:p>
      <w:pPr>
        <w:numPr>
          <w:ilvl w:val="0"/>
          <w:numId w:val="1013"/>
        </w:numPr>
        <w:pStyle w:val="Compact"/>
      </w:pPr>
      <w:r>
        <w:t xml:space="preserve">запрет</w:t>
      </w:r>
      <w:r>
        <w:t xml:space="preserve"> </w:t>
      </w:r>
      <w:r>
        <w:rPr>
          <w:bCs/>
          <w:b/>
        </w:rPr>
        <w:t xml:space="preserve">выкупа</w:t>
      </w:r>
      <w:r>
        <w:t xml:space="preserve"> </w:t>
      </w:r>
      <w:r>
        <w:t xml:space="preserve">участка в собственность до подтверждения реализации проекта;</w:t>
      </w:r>
    </w:p>
    <w:p>
      <w:pPr>
        <w:numPr>
          <w:ilvl w:val="0"/>
          <w:numId w:val="1013"/>
        </w:numPr>
        <w:pStyle w:val="Compact"/>
      </w:pPr>
      <w:r>
        <w:t xml:space="preserve">расторжение договора при недостижении заявленных показателей (объём вложений, рабочие места);</w:t>
      </w:r>
    </w:p>
    <w:p>
      <w:pPr>
        <w:numPr>
          <w:ilvl w:val="0"/>
          <w:numId w:val="1013"/>
        </w:numPr>
        <w:pStyle w:val="Compact"/>
      </w:pPr>
      <w:r>
        <w:t xml:space="preserve">синхронизация срока аренды со сроком реализации инвестпроекта.</w:t>
      </w:r>
    </w:p>
    <w:p>
      <w:pPr>
        <w:pStyle w:val="BlockText"/>
      </w:pPr>
      <w:r>
        <w:t xml:space="preserve">Это</w:t>
      </w:r>
      <w:r>
        <w:t xml:space="preserve"> </w:t>
      </w:r>
      <w:r>
        <w:rPr>
          <w:bCs/>
          <w:b/>
        </w:rPr>
        <w:t xml:space="preserve">не придирка, а защита позиции</w:t>
      </w:r>
      <w:r>
        <w:t xml:space="preserve">: если жюри спросит «а что мешает вам получить землю без торгов и перепродать право аренды?» — ответ должен быть готов: закон и договор это прямо ограничивают.</w:t>
      </w:r>
    </w:p>
    <w:p>
      <w:pPr>
        <w:pStyle w:val="FirstParagraph"/>
      </w:pPr>
      <w:r>
        <w:rPr>
          <w:bCs/>
          <w:b/>
        </w:rPr>
        <w:t xml:space="preserve">Арендная плата.</w:t>
      </w:r>
      <w:r>
        <w:t xml:space="preserve"> </w:t>
      </w:r>
      <w:r>
        <w:t xml:space="preserve">Для участков, предоставленных без торгов, размер арендной платы определяется в порядке, установленном Правительством Свердловской области (методика расчёта от кадастровой стоимости).</w:t>
      </w:r>
      <w:r>
        <w:t xml:space="preserve"> </w:t>
      </w:r>
      <w:r>
        <w:rPr>
          <w:bCs/>
          <w:b/>
        </w:rPr>
        <w:t xml:space="preserve">[СВЕРИТЬ реквизиты постановления о порядке определения размера арендной платы в СО]</w:t>
      </w:r>
      <w:r>
        <w:t xml:space="preserve"> </w:t>
      </w:r>
      <w:r>
        <w:t xml:space="preserve">— цифру можно взять с ПКК (кадастровая стоимость) × ставка.</w:t>
      </w:r>
    </w:p>
    <w:p>
      <w:r>
        <w:pict>
          <v:rect style="width:0;height:1.5pt" o:hralign="center" o:hrstd="t" o:hr="t"/>
        </w:pict>
      </w:r>
    </w:p>
    <w:bookmarkEnd w:id="39"/>
    <w:bookmarkStart w:id="44" w:name="готовые-тексты-для-слайдов"/>
    <w:p>
      <w:pPr>
        <w:pStyle w:val="Heading2"/>
      </w:pPr>
      <w:r>
        <w:t xml:space="preserve">8. Готовые тексты для слайдов</w:t>
      </w:r>
    </w:p>
    <w:bookmarkStart w:id="40" w:name="слайд-земельный-блок.-участок"/>
    <w:p>
      <w:pPr>
        <w:pStyle w:val="Heading3"/>
      </w:pPr>
      <w:r>
        <w:t xml:space="preserve">Слайд «Земельный блок. Участок»</w:t>
      </w:r>
    </w:p>
    <w:p>
      <w:pPr>
        <w:pStyle w:val="BlockText"/>
      </w:pPr>
      <w:r>
        <w:rPr>
          <w:bCs/>
          <w:b/>
        </w:rPr>
        <w:t xml:space="preserve">Площадка:</w:t>
      </w:r>
      <w:r>
        <w:t xml:space="preserve"> </w:t>
      </w:r>
      <w:r>
        <w:t xml:space="preserve">[наименование], [муниципальное образование], Свердловская область</w:t>
      </w:r>
      <w:r>
        <w:t xml:space="preserve"> </w:t>
      </w:r>
      <w:r>
        <w:rPr>
          <w:bCs/>
          <w:b/>
        </w:rPr>
        <w:t xml:space="preserve">Кадастровый номер:</w:t>
      </w:r>
      <w:r>
        <w:t xml:space="preserve"> </w:t>
      </w:r>
      <w:r>
        <w:t xml:space="preserve">66:</w:t>
      </w:r>
      <w:r>
        <w:rPr>
          <w:bCs/>
          <w:b/>
        </w:rPr>
        <w:t xml:space="preserve">:</w:t>
      </w:r>
      <w:r>
        <w:t xml:space="preserve">________:____</w:t>
      </w:r>
      <w:r>
        <w:t xml:space="preserve"> </w:t>
      </w:r>
      <w:r>
        <w:rPr>
          <w:bCs/>
          <w:b/>
        </w:rPr>
        <w:t xml:space="preserve">Площадь:</w:t>
      </w:r>
      <w:r>
        <w:t xml:space="preserve"> </w:t>
      </w:r>
      <w:r>
        <w:t xml:space="preserve">__ га (ТЗ: 12–15 га) ✔</w:t>
      </w:r>
      <w:r>
        <w:t xml:space="preserve"> </w:t>
      </w:r>
      <w:r>
        <w:rPr>
          <w:bCs/>
          <w:b/>
        </w:rPr>
        <w:t xml:space="preserve">Категория:</w:t>
      </w:r>
      <w:r>
        <w:t xml:space="preserve"> </w:t>
      </w:r>
      <w:r>
        <w:t xml:space="preserve">земли промышленности, энергетики, транспорта… (ст. 7, 88 ЗК РФ)</w:t>
      </w:r>
      <w:r>
        <w:t xml:space="preserve"> </w:t>
      </w:r>
      <w:r>
        <w:rPr>
          <w:bCs/>
          <w:b/>
        </w:rPr>
        <w:t xml:space="preserve">ВРИ:</w:t>
      </w:r>
      <w:r>
        <w:t xml:space="preserve"> </w:t>
      </w:r>
      <w:r>
        <w:t xml:space="preserve">6.2 «Тяжёлая промышленность» (включает авиастроение) + 6.9 «Склад»</w:t>
      </w:r>
      <w:r>
        <w:t xml:space="preserve"> </w:t>
      </w:r>
      <w:r>
        <w:rPr>
          <w:bCs/>
          <w:b/>
        </w:rPr>
        <w:t xml:space="preserve">Собственность:</w:t>
      </w:r>
      <w:r>
        <w:t xml:space="preserve"> </w:t>
      </w:r>
      <w:r>
        <w:t xml:space="preserve">[Свердловская область / муниципальная / не разграничена]</w:t>
      </w:r>
      <w:r>
        <w:t xml:space="preserve"> </w:t>
      </w:r>
      <w:r>
        <w:rPr>
          <w:iCs/>
          <w:i/>
        </w:rPr>
        <w:t xml:space="preserve">[скриншот фрагмента ПКК с контуром участка]</w:t>
      </w:r>
    </w:p>
    <w:bookmarkEnd w:id="40"/>
    <w:bookmarkStart w:id="41" w:name="слайд-почему-ври-6.2-а-не-6.0"/>
    <w:p>
      <w:pPr>
        <w:pStyle w:val="Heading3"/>
      </w:pPr>
      <w:r>
        <w:t xml:space="preserve">Слайд «Почему ВРИ 6.2, а не 6.0»</w:t>
      </w:r>
    </w:p>
    <w:p>
      <w:pPr>
        <w:pStyle w:val="BlockText"/>
      </w:pPr>
      <w:r>
        <w:t xml:space="preserve">Классификатор ВРИ — Приказ Росреестра от 10.11.2020 № П/0412.</w:t>
      </w:r>
      <w:r>
        <w:t xml:space="preserve"> </w:t>
      </w:r>
      <w:r>
        <w:t xml:space="preserve">Код</w:t>
      </w:r>
      <w:r>
        <w:t xml:space="preserve"> </w:t>
      </w:r>
      <w:r>
        <w:rPr>
          <w:bCs/>
          <w:b/>
        </w:rPr>
        <w:t xml:space="preserve">6.2 «Тяжёлая промышленность»</w:t>
      </w:r>
      <w:r>
        <w:t xml:space="preserve"> </w:t>
      </w:r>
      <w:r>
        <w:t xml:space="preserve">прямо включает</w:t>
      </w:r>
      <w:r>
        <w:t xml:space="preserve"> </w:t>
      </w:r>
      <w:r>
        <w:rPr>
          <w:bCs/>
          <w:b/>
        </w:rPr>
        <w:t xml:space="preserve">изготовление продукции авиастроения</w:t>
      </w:r>
      <w:r>
        <w:t xml:space="preserve"> </w:t>
      </w:r>
      <w:r>
        <w:t xml:space="preserve">и прямо предполагает установление</w:t>
      </w:r>
      <w:r>
        <w:t xml:space="preserve"> </w:t>
      </w:r>
      <w:r>
        <w:rPr>
          <w:bCs/>
          <w:b/>
        </w:rPr>
        <w:t xml:space="preserve">санитарно-защитной зоны</w:t>
      </w:r>
      <w:r>
        <w:t xml:space="preserve">.</w:t>
      </w:r>
      <w:r>
        <w:t xml:space="preserve"> </w:t>
      </w:r>
      <w:r>
        <w:t xml:space="preserve">БАС = авиастроение. Объект =</w:t>
      </w:r>
      <w:r>
        <w:t xml:space="preserve"> </w:t>
      </w:r>
      <w:r>
        <w:rPr>
          <w:bCs/>
          <w:b/>
        </w:rPr>
        <w:t xml:space="preserve">II категория НВОС</w:t>
      </w:r>
      <w:r>
        <w:t xml:space="preserve"> </w:t>
      </w:r>
      <w:r>
        <w:t xml:space="preserve">⇒ СЗЗ обязательна.</w:t>
      </w:r>
      <w:r>
        <w:t xml:space="preserve"> </w:t>
      </w:r>
      <w:r>
        <w:t xml:space="preserve">Итог: ВРИ соответствует фактическому использованию ⇒</w:t>
      </w:r>
      <w:r>
        <w:t xml:space="preserve"> </w:t>
      </w:r>
      <w:r>
        <w:rPr>
          <w:bCs/>
          <w:b/>
        </w:rPr>
        <w:t xml:space="preserve">снято основание для отказа по п. 14 ст. 39.16 ЗК РФ</w:t>
      </w:r>
      <w:r>
        <w:t xml:space="preserve">.</w:t>
      </w:r>
    </w:p>
    <w:bookmarkEnd w:id="41"/>
    <w:bookmarkStart w:id="42" w:name="X670cb1c91362070249a823f45f5212b0a91f7ea"/>
    <w:p>
      <w:pPr>
        <w:pStyle w:val="Heading3"/>
      </w:pPr>
      <w:r>
        <w:t xml:space="preserve">Слайд «Аренда без торгов: правовая конструкция»</w:t>
      </w:r>
    </w:p>
    <w:p>
      <w:pPr>
        <w:pStyle w:val="BlockText"/>
      </w:pPr>
      <w:r>
        <w:rPr>
          <w:bCs/>
          <w:b/>
        </w:rPr>
        <w:t xml:space="preserve">1. Федеральный уровень.</w:t>
      </w:r>
      <w:r>
        <w:t xml:space="preserve"> </w:t>
      </w:r>
      <w:r>
        <w:t xml:space="preserve">пп. 3 п. 2 ст. 39.6 ЗК РФ — аренда</w:t>
      </w:r>
      <w:r>
        <w:t xml:space="preserve"> </w:t>
      </w:r>
      <w:r>
        <w:rPr>
          <w:bCs/>
          <w:b/>
        </w:rPr>
        <w:t xml:space="preserve">без торгов</w:t>
      </w:r>
      <w:r>
        <w:t xml:space="preserve"> </w:t>
      </w:r>
      <w:r>
        <w:t xml:space="preserve">юридическому лицу</w:t>
      </w:r>
      <w:r>
        <w:t xml:space="preserve"> </w:t>
      </w:r>
      <w:r>
        <w:rPr>
          <w:bCs/>
          <w:b/>
        </w:rPr>
        <w:t xml:space="preserve">по распоряжению высшего должностного лица субъекта РФ</w:t>
      </w:r>
      <w:r>
        <w:t xml:space="preserve"> </w:t>
      </w:r>
      <w:r>
        <w:t xml:space="preserve">для реализации</w:t>
      </w:r>
      <w:r>
        <w:t xml:space="preserve"> </w:t>
      </w:r>
      <w:r>
        <w:rPr>
          <w:bCs/>
          <w:b/>
        </w:rPr>
        <w:t xml:space="preserve">масштабного инвестиционного проекта</w:t>
      </w:r>
      <w:r>
        <w:t xml:space="preserve">, при соответствии</w:t>
      </w:r>
      <w:r>
        <w:t xml:space="preserve"> </w:t>
      </w:r>
      <w:r>
        <w:rPr>
          <w:bCs/>
          <w:b/>
        </w:rPr>
        <w:t xml:space="preserve">критериям, установленным законом субъекта РФ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2. Региональный уровень.</w:t>
      </w:r>
      <w:r>
        <w:t xml:space="preserve"> </w:t>
      </w:r>
      <w:r>
        <w:rPr>
          <w:bCs/>
          <w:b/>
        </w:rPr>
        <w:t xml:space="preserve">Статья 30 Закона Свердловской области от 07.07.2004 № 18-ОЗ</w:t>
      </w:r>
      <w:r>
        <w:t xml:space="preserve"> </w:t>
      </w:r>
      <w:r>
        <w:t xml:space="preserve">«Об особенностях регулирования земельных отношений на территории Свердловской области» —</w:t>
      </w:r>
      <w:r>
        <w:t xml:space="preserve"> </w:t>
      </w:r>
      <w:r>
        <w:rPr>
          <w:bCs/>
          <w:b/>
        </w:rPr>
        <w:t xml:space="preserve">критерии</w:t>
      </w:r>
      <w:r>
        <w:t xml:space="preserve"> </w:t>
      </w:r>
      <w:r>
        <w:t xml:space="preserve">масштабного инвестпроекта.</w:t>
      </w:r>
    </w:p>
    <w:p>
      <w:pPr>
        <w:pStyle w:val="BlockText"/>
      </w:pPr>
      <w:r>
        <w:rPr>
          <w:bCs/>
          <w:b/>
        </w:rPr>
        <w:t xml:space="preserve">3. Порядок.</w:t>
      </w:r>
      <w:r>
        <w:t xml:space="preserve"> </w:t>
      </w:r>
      <w:r>
        <w:rPr>
          <w:bCs/>
          <w:b/>
        </w:rPr>
        <w:t xml:space="preserve">Постановление Правительства Свердловской области от 08.07.2016 № 484-ПП</w:t>
      </w:r>
      <w:r>
        <w:t xml:space="preserve"> </w:t>
      </w:r>
      <w:r>
        <w:t xml:space="preserve">«О реализации статьи 30 Закона Свердловской области от 7 июля 2004 года № 18-ОЗ» — процедура, перечень документов,</w:t>
      </w:r>
      <w:r>
        <w:t xml:space="preserve"> </w:t>
      </w:r>
      <w:r>
        <w:rPr>
          <w:bCs/>
          <w:b/>
        </w:rPr>
        <w:t xml:space="preserve">Правительственная комиссия Свердловской области</w:t>
      </w:r>
      <w:r>
        <w:t xml:space="preserve"> </w:t>
      </w:r>
      <w:r>
        <w:t xml:space="preserve">по оценке соответствия критериям п. 1 и 2 ст. 30.</w:t>
      </w:r>
      <w:r>
        <w:t xml:space="preserve"> </w:t>
      </w:r>
      <w:r>
        <w:t xml:space="preserve">Механизм действует с 2016 года; состав комиссии актуализирован</w:t>
      </w:r>
      <w:r>
        <w:t xml:space="preserve"> </w:t>
      </w:r>
      <w:r>
        <w:rPr>
          <w:bCs/>
          <w:b/>
        </w:rPr>
        <w:t xml:space="preserve">ПП СО от 16.07.2025 № 386-ПП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4. Соответствие.</w:t>
      </w:r>
      <w:r>
        <w:t xml:space="preserve"> </w:t>
      </w:r>
      <w:r>
        <w:t xml:space="preserve">Инвестиции</w:t>
      </w:r>
      <w:r>
        <w:t xml:space="preserve"> </w:t>
      </w:r>
      <w:r>
        <w:rPr>
          <w:bCs/>
          <w:b/>
        </w:rPr>
        <w:t xml:space="preserve">4,5 млрд руб.</w:t>
      </w:r>
      <w:r>
        <w:t xml:space="preserve"> </w:t>
      </w:r>
      <w:r>
        <w:t xml:space="preserve">при максимальном пороге</w:t>
      </w:r>
      <w:r>
        <w:t xml:space="preserve"> </w:t>
      </w:r>
      <w:r>
        <w:rPr>
          <w:bCs/>
          <w:b/>
        </w:rPr>
        <w:t xml:space="preserve">[__] млн руб.</w:t>
      </w:r>
      <w:r>
        <w:t xml:space="preserve"> </w:t>
      </w:r>
      <w:r>
        <w:t xml:space="preserve">— запас</w:t>
      </w:r>
      <w:r>
        <w:t xml:space="preserve"> </w:t>
      </w:r>
      <w:r>
        <w:rPr>
          <w:bCs/>
          <w:b/>
        </w:rPr>
        <w:t xml:space="preserve">более чем десятикратный</w:t>
      </w:r>
      <w:r>
        <w:t xml:space="preserve">.</w:t>
      </w:r>
    </w:p>
    <w:bookmarkEnd w:id="42"/>
    <w:bookmarkStart w:id="43" w:name="слайд-альтернативы-и-план-б"/>
    <w:p>
      <w:pPr>
        <w:pStyle w:val="Heading3"/>
      </w:pPr>
      <w:r>
        <w:t xml:space="preserve">Слайд «Альтернативы и план Б»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643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Схема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МИП (основная)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пп. 3 п. 2 ст. 39.6 ЗК РФ + ст. 30 Закона СО № 18-ОЗ + ПП СО № 484-ПП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выбрана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Резидент ОЭЗ «Титановая долина»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ФЗ от 22.07.2005 № 116-ФЗ + ст. 39.6 ЗК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резерв; площадка «Уктус» — бывший аэродром, ценно для лётных испытаний БАС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Резидент ТОСЭР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ФЗ от 29.12.2014 № 473-ФЗ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срока режима, ограничения ЗАТО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Импортозамещение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ПП РФ от 09.04.2022 № 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регионального перечня продукции; запрет смены ВРИ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Аукцион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ст. 39.11–39.13 ЗК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крайний вариант: +2–4 мес. и ценовой риск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X1aec297f1e57de5b7dc6ea2b004c6c97a12d476"/>
    <w:p>
      <w:pPr>
        <w:pStyle w:val="Heading2"/>
      </w:pPr>
      <w:r>
        <w:t xml:space="preserve">9. Вероятные вопросы жюри и заготовки ответов</w:t>
      </w:r>
    </w:p>
    <w:p>
      <w:pPr>
        <w:pStyle w:val="FirstParagraph"/>
      </w:pPr>
      <w:r>
        <w:rPr>
          <w:bCs/>
          <w:b/>
        </w:rPr>
        <w:t xml:space="preserve">1. «Почему без торгов? Это же обход конкурентной процедуры».</w:t>
      </w:r>
    </w:p>
    <w:p>
      <w:pPr>
        <w:pStyle w:val="BlockText"/>
      </w:pPr>
      <w:r>
        <w:t xml:space="preserve">Это не обход, а прямо предусмотренное ЗК РФ исключение: пп. 3 п. 2 ст. 39.6. Законодатель сознательно вывел масштабные инвестпроекты из аукционов, отдав определение критериев субъекту РФ. В Свердловской области критерии — ст. 30 Закона № 18-ОЗ, порядок — ПП СО № 484-ПП, решение принимает Правительственная комиссия, а затем издаётся распоряжение высшего должностного лица области. То есть процедура не менее публичная, чем торги, просто конкуренция заменена на соответствие объективным критериям.</w:t>
      </w:r>
    </w:p>
    <w:p>
      <w:pPr>
        <w:pStyle w:val="FirstParagraph"/>
      </w:pPr>
      <w:r>
        <w:rPr>
          <w:bCs/>
          <w:b/>
        </w:rPr>
        <w:t xml:space="preserve">2. «Назовите конкретную цифру порога по ст. 30».</w:t>
      </w:r>
    </w:p>
    <w:p>
      <w:pPr>
        <w:pStyle w:val="BlockText"/>
      </w:pPr>
      <w:r>
        <w:t xml:space="preserve">[Подставить сверенную цифру.] Если цифра не сверена —</w:t>
      </w:r>
      <w:r>
        <w:t xml:space="preserve"> </w:t>
      </w:r>
      <w:r>
        <w:rPr>
          <w:bCs/>
          <w:b/>
        </w:rPr>
        <w:t xml:space="preserve">не выдумывайте</w:t>
      </w:r>
      <w:r>
        <w:t xml:space="preserve">. Честный ответ: «пороговое значение зависит от типа территории размещения — шкала трёхступенчатая; для городского округа это [__] млн руб., наш проект — 4,5 млрд руб., запас более чем десятикратный».</w:t>
      </w:r>
    </w:p>
    <w:p>
      <w:pPr>
        <w:pStyle w:val="FirstParagraph"/>
      </w:pPr>
      <w:r>
        <w:rPr>
          <w:bCs/>
          <w:b/>
        </w:rPr>
        <w:t xml:space="preserve">3. «Что если комиссия откажет?»</w:t>
      </w:r>
    </w:p>
    <w:p>
      <w:pPr>
        <w:pStyle w:val="BlockText"/>
      </w:pPr>
      <w:r>
        <w:t xml:space="preserve">Переходим на резервную схему — резидентство ОЭЗ «Титановая долина» по ФЗ № 116-ФЗ, либо аукцион по ст. 39.11–39.13 ЗК РФ. Потеря по сроку — 2–4 месяца, в график 24 месяцев укладываемся за счёт параллельного проектирования.</w:t>
      </w:r>
    </w:p>
    <w:p>
      <w:pPr>
        <w:pStyle w:val="FirstParagraph"/>
      </w:pPr>
      <w:r>
        <w:rPr>
          <w:bCs/>
          <w:b/>
        </w:rPr>
        <w:t xml:space="preserve">4. «Участок — земли сельхозназначения?»</w:t>
      </w:r>
    </w:p>
    <w:p>
      <w:pPr>
        <w:pStyle w:val="BlockText"/>
      </w:pPr>
      <w:r>
        <w:t xml:space="preserve">Нет, и это принципиально. Перевод категории по ФЗ от 21.12.2004 № 172-ФЗ — это +4–8 месяцев и риск отказа. При сроке ТЗ в 24 месяца мы такой риск не принимаем.</w:t>
      </w:r>
    </w:p>
    <w:p>
      <w:pPr>
        <w:pStyle w:val="FirstParagraph"/>
      </w:pPr>
      <w:r>
        <w:rPr>
          <w:bCs/>
          <w:b/>
        </w:rPr>
        <w:t xml:space="preserve">5. «Вы можете сменить ВРИ после получения участка?»</w:t>
      </w:r>
    </w:p>
    <w:p>
      <w:pPr>
        <w:pStyle w:val="BlockText"/>
      </w:pPr>
      <w:r>
        <w:t xml:space="preserve">По ч. 4 ст. 37 ГрК РФ правообладатель выбирает основной ВРИ самостоятельно — но только из перечня основных видов для своей территориальной зоны по ПЗЗ. По участкам, предоставленным под импортозамещение по ПП РФ № 629, смена ВРИ прямо запрещена. Именно поэтому мы фиксируем 6.2 и 6.9 на входе, а не потом.</w:t>
      </w:r>
    </w:p>
    <w:p>
      <w:pPr>
        <w:pStyle w:val="FirstParagraph"/>
      </w:pPr>
      <w:r>
        <w:rPr>
          <w:bCs/>
          <w:b/>
        </w:rPr>
        <w:t xml:space="preserve">6. «Кому вы подаёте заявление?»</w:t>
      </w:r>
    </w:p>
    <w:p>
      <w:pPr>
        <w:pStyle w:val="BlockText"/>
      </w:pPr>
      <w:r>
        <w:t xml:space="preserve">По ст. 39.2 ЗК РФ — уполномоченному органу по принадлежности участка: МУГИСО по областным землям, ОМСУ — по муниципальным.</w:t>
      </w:r>
      <w:r>
        <w:t xml:space="preserve"> </w:t>
      </w:r>
      <w:r>
        <w:rPr>
          <w:bCs/>
          <w:b/>
        </w:rPr>
        <w:t xml:space="preserve">[Уточнить для конкретного участка и для Екатеринбурга.]</w:t>
      </w:r>
    </w:p>
    <w:p>
      <w:r>
        <w:pict>
          <v:rect style="width:0;height:1.5pt" o:hralign="center" o:hrstd="t" o:hr="t"/>
        </w:pict>
      </w:r>
    </w:p>
    <w:bookmarkEnd w:id="45"/>
    <w:bookmarkStart w:id="46" w:name="X5510216ac5fad5f7c0535e8b75bd1f519dddf35"/>
    <w:p>
      <w:pPr>
        <w:pStyle w:val="Heading2"/>
      </w:pPr>
      <w:r>
        <w:t xml:space="preserve">10. Чек-лист: что доделать руками перед защитой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Открыть ст. 30 Закона СО от 07.07.2004 № 18-ОЗ</w:t>
      </w:r>
      <w:r>
        <w:t xml:space="preserve"> </w:t>
      </w:r>
      <w:r>
        <w:t xml:space="preserve">в действующей редакции → выписать точные пороги по капвложениям и рабочим местам, номер и дату последней редакции.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Открыть ПП СО от 08.07.2016 № 484-ПП</w:t>
      </w:r>
      <w:r>
        <w:t xml:space="preserve"> </w:t>
      </w:r>
      <w:r>
        <w:t xml:space="preserve">→ выписать перечень документов заявителя, срок работы Правительственной комиссии, срок издания распоряжения.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Выбрать участок на ПКК</w:t>
      </w:r>
      <w:r>
        <w:t xml:space="preserve"> </w:t>
      </w:r>
      <w:r>
        <w:t xml:space="preserve">→ заполнить шаблон из п. 2.2, сделать скриншот.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Проверить ПЗЗ</w:t>
      </w:r>
      <w:r>
        <w:t xml:space="preserve"> </w:t>
      </w:r>
      <w:r>
        <w:t xml:space="preserve">муниципалитета: входят ли ВРИ 6.2 и 6.9 в</w:t>
      </w:r>
      <w:r>
        <w:t xml:space="preserve"> </w:t>
      </w:r>
      <w:r>
        <w:rPr>
          <w:bCs/>
          <w:b/>
        </w:rPr>
        <w:t xml:space="preserve">основные</w:t>
      </w:r>
      <w:r>
        <w:t xml:space="preserve"> </w:t>
      </w:r>
      <w:r>
        <w:t xml:space="preserve">виды для территориальной зоны участка.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Проверить, у кого полномочия</w:t>
      </w:r>
      <w:r>
        <w:t xml:space="preserve"> </w:t>
      </w:r>
      <w:r>
        <w:t xml:space="preserve">по распоряжению неразграниченными землями в выбранном МО (особенно если Екатеринбург).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Проверить статус ОЭЗ/ТОСЭР</w:t>
      </w:r>
      <w:r>
        <w:t xml:space="preserve"> </w:t>
      </w:r>
      <w:r>
        <w:t xml:space="preserve">и срок действия режима, если берёте резервную схему.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Проверить действие ПП РФ № 629</w:t>
      </w:r>
      <w:r>
        <w:t xml:space="preserve"> </w:t>
      </w:r>
      <w:r>
        <w:t xml:space="preserve">и наличие регионального перечня импортозамещающей продукции.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Проверить плотность застройки</w:t>
      </w:r>
      <w:r>
        <w:t xml:space="preserve"> </w:t>
      </w:r>
      <w:r>
        <w:t xml:space="preserve">45 000 кв. м на выбранной площади по СП 18.13330.2019.</w:t>
      </w:r>
    </w:p>
    <w:p>
      <w:pPr>
        <w:numPr>
          <w:ilvl w:val="0"/>
          <w:numId w:val="1014"/>
        </w:numPr>
        <w:pStyle w:val="Compact"/>
      </w:pPr>
      <w:r>
        <w:t xml:space="preserve">☐ Сверить реквизиты НПЦ БАС Свердловской области, если используете этот аргумент.</w:t>
      </w:r>
    </w:p>
    <w:p>
      <w:r>
        <w:pict>
          <v:rect style="width:0;height:1.5pt" o:hralign="center" o:hrstd="t" o:hr="t"/>
        </w:pict>
      </w:r>
    </w:p>
    <w:bookmarkEnd w:id="46"/>
    <w:bookmarkStart w:id="68" w:name="использованные-источники"/>
    <w:p>
      <w:pPr>
        <w:pStyle w:val="Heading2"/>
      </w:pPr>
      <w:r>
        <w:t xml:space="preserve">11. Использованные источники</w:t>
      </w:r>
    </w:p>
    <w:p>
      <w:pPr>
        <w:pStyle w:val="FirstParagraph"/>
      </w:pPr>
      <w:r>
        <w:t xml:space="preserve">Проверенные (в пределах доступа):</w:t>
      </w:r>
    </w:p>
    <w:p>
      <w:pPr>
        <w:numPr>
          <w:ilvl w:val="0"/>
          <w:numId w:val="1015"/>
        </w:numPr>
        <w:pStyle w:val="Compact"/>
      </w:pPr>
      <w:hyperlink r:id="rId47">
        <w:r>
          <w:rPr>
            <w:rStyle w:val="Hyperlink"/>
          </w:rPr>
          <w:t xml:space="preserve">Министерство инвестиций и развития Свердловской области — Масштабные инвестиционные проекты</w:t>
        </w:r>
      </w:hyperlink>
    </w:p>
    <w:p>
      <w:pPr>
        <w:numPr>
          <w:ilvl w:val="0"/>
          <w:numId w:val="1015"/>
        </w:numPr>
        <w:pStyle w:val="Compact"/>
      </w:pPr>
      <w:hyperlink r:id="rId48">
        <w:r>
          <w:rPr>
            <w:rStyle w:val="Hyperlink"/>
          </w:rPr>
          <w:t xml:space="preserve">Министерство инвестиций и развития Свердловской области — Деятельность</w:t>
        </w:r>
      </w:hyperlink>
    </w:p>
    <w:p>
      <w:pPr>
        <w:numPr>
          <w:ilvl w:val="0"/>
          <w:numId w:val="1015"/>
        </w:numPr>
        <w:pStyle w:val="Compact"/>
      </w:pPr>
      <w:hyperlink r:id="rId49">
        <w:r>
          <w:rPr>
            <w:rStyle w:val="Hyperlink"/>
          </w:rPr>
          <w:t xml:space="preserve">ПП СО от 16.07.2025 № 386-ПП (изменения в состав комиссии по ст. 30 Закона № 18-ОЗ)</w:t>
        </w:r>
      </w:hyperlink>
    </w:p>
    <w:p>
      <w:pPr>
        <w:numPr>
          <w:ilvl w:val="0"/>
          <w:numId w:val="1015"/>
        </w:numPr>
        <w:pStyle w:val="Compact"/>
      </w:pPr>
      <w:hyperlink r:id="rId50">
        <w:r>
          <w:rPr>
            <w:rStyle w:val="Hyperlink"/>
          </w:rPr>
          <w:t xml:space="preserve">Закон Свердловской области от 03.11.2017 № 116-ОЗ (изменения в ст. 30 Закона № 18-ОЗ) — ГАРАНТ</w:t>
        </w:r>
      </w:hyperlink>
    </w:p>
    <w:p>
      <w:pPr>
        <w:numPr>
          <w:ilvl w:val="0"/>
          <w:numId w:val="1015"/>
        </w:numPr>
        <w:pStyle w:val="Compact"/>
      </w:pPr>
      <w:hyperlink r:id="rId51">
        <w:r>
          <w:rPr>
            <w:rStyle w:val="Hyperlink"/>
          </w:rPr>
          <w:t xml:space="preserve">Инвестиционный портал регионов России — предоставление участка инвестору без торгов (Свердловская область)</w:t>
        </w:r>
      </w:hyperlink>
    </w:p>
    <w:p>
      <w:pPr>
        <w:numPr>
          <w:ilvl w:val="0"/>
          <w:numId w:val="1015"/>
        </w:numPr>
        <w:pStyle w:val="Compact"/>
      </w:pPr>
      <w:hyperlink r:id="rId52">
        <w:r>
          <w:rPr>
            <w:rStyle w:val="Hyperlink"/>
          </w:rPr>
          <w:t xml:space="preserve">Масштабный инвестиционный проект (МИП), Свердловская область — invest-in-ural.ru</w:t>
        </w:r>
      </w:hyperlink>
    </w:p>
    <w:p>
      <w:pPr>
        <w:numPr>
          <w:ilvl w:val="0"/>
          <w:numId w:val="1015"/>
        </w:numPr>
        <w:pStyle w:val="Compact"/>
      </w:pPr>
      <w:hyperlink r:id="rId53">
        <w:r>
          <w:rPr>
            <w:rStyle w:val="Hyperlink"/>
          </w:rPr>
          <w:t xml:space="preserve">ЗК РФ ст. 39.6 — КонсультантПлюс</w:t>
        </w:r>
      </w:hyperlink>
    </w:p>
    <w:p>
      <w:pPr>
        <w:numPr>
          <w:ilvl w:val="0"/>
          <w:numId w:val="1015"/>
        </w:numPr>
        <w:pStyle w:val="Compact"/>
      </w:pPr>
      <w:hyperlink r:id="rId54">
        <w:r>
          <w:rPr>
            <w:rStyle w:val="Hyperlink"/>
          </w:rPr>
          <w:t xml:space="preserve">ЗК РФ ст. 39.8 — КонсультантПлюс</w:t>
        </w:r>
      </w:hyperlink>
    </w:p>
    <w:p>
      <w:pPr>
        <w:numPr>
          <w:ilvl w:val="0"/>
          <w:numId w:val="1015"/>
        </w:numPr>
        <w:pStyle w:val="Compact"/>
      </w:pPr>
      <w:hyperlink r:id="rId55">
        <w:r>
          <w:rPr>
            <w:rStyle w:val="Hyperlink"/>
          </w:rPr>
          <w:t xml:space="preserve">ЗК РФ ст. 39.15 — КонсультантПлюс</w:t>
        </w:r>
      </w:hyperlink>
    </w:p>
    <w:p>
      <w:pPr>
        <w:numPr>
          <w:ilvl w:val="0"/>
          <w:numId w:val="1015"/>
        </w:numPr>
        <w:pStyle w:val="Compact"/>
      </w:pPr>
      <w:hyperlink r:id="rId56">
        <w:r>
          <w:rPr>
            <w:rStyle w:val="Hyperlink"/>
          </w:rPr>
          <w:t xml:space="preserve">ЗК РФ ст. 39.17 — КонсультантПлюс</w:t>
        </w:r>
      </w:hyperlink>
    </w:p>
    <w:p>
      <w:pPr>
        <w:numPr>
          <w:ilvl w:val="0"/>
          <w:numId w:val="1015"/>
        </w:numPr>
        <w:pStyle w:val="Compact"/>
      </w:pPr>
      <w:hyperlink r:id="rId57">
        <w:r>
          <w:rPr>
            <w:rStyle w:val="Hyperlink"/>
          </w:rPr>
          <w:t xml:space="preserve">Классификатор ВРИ, Приказ Росреестра от 10.11.2020 № П/0412 — ГАРАНТ</w:t>
        </w:r>
      </w:hyperlink>
    </w:p>
    <w:p>
      <w:pPr>
        <w:numPr>
          <w:ilvl w:val="0"/>
          <w:numId w:val="1015"/>
        </w:numPr>
        <w:pStyle w:val="Compact"/>
      </w:pPr>
      <w:hyperlink r:id="rId58">
        <w:r>
          <w:rPr>
            <w:rStyle w:val="Hyperlink"/>
          </w:rPr>
          <w:t xml:space="preserve">ПП РФ от 29.12.2014 № 1603 (критерии МИП для федеральных земель) — КонсультантПлюс</w:t>
        </w:r>
      </w:hyperlink>
    </w:p>
    <w:p>
      <w:pPr>
        <w:numPr>
          <w:ilvl w:val="0"/>
          <w:numId w:val="1015"/>
        </w:numPr>
        <w:pStyle w:val="Compact"/>
      </w:pPr>
      <w:hyperlink r:id="rId59">
        <w:r>
          <w:rPr>
            <w:rStyle w:val="Hyperlink"/>
          </w:rPr>
          <w:t xml:space="preserve">ПП РФ от 09.04.2022 № 629 (импортозамещение) — ГАРАНТ</w:t>
        </w:r>
      </w:hyperlink>
    </w:p>
    <w:p>
      <w:pPr>
        <w:numPr>
          <w:ilvl w:val="0"/>
          <w:numId w:val="1015"/>
        </w:numPr>
        <w:pStyle w:val="Compact"/>
      </w:pPr>
      <w:hyperlink r:id="rId60">
        <w:r>
          <w:rPr>
            <w:rStyle w:val="Hyperlink"/>
          </w:rPr>
          <w:t xml:space="preserve">Упрощение предоставления участков под импортозамещение — ГАРАНТ</w:t>
        </w:r>
      </w:hyperlink>
    </w:p>
    <w:p>
      <w:pPr>
        <w:numPr>
          <w:ilvl w:val="0"/>
          <w:numId w:val="1015"/>
        </w:numPr>
        <w:pStyle w:val="Compact"/>
      </w:pPr>
      <w:hyperlink r:id="rId61">
        <w:r>
          <w:rPr>
            <w:rStyle w:val="Hyperlink"/>
          </w:rPr>
          <w:t xml:space="preserve">Кассация о земле без торгов для импортозамещения</w:t>
        </w:r>
      </w:hyperlink>
    </w:p>
    <w:p>
      <w:pPr>
        <w:numPr>
          <w:ilvl w:val="0"/>
          <w:numId w:val="1015"/>
        </w:numPr>
        <w:pStyle w:val="Compact"/>
      </w:pPr>
      <w:hyperlink r:id="rId62">
        <w:r>
          <w:rPr>
            <w:rStyle w:val="Hyperlink"/>
          </w:rPr>
          <w:t xml:space="preserve">ОЭЗ «Титановая долина» — официальный сайт</w:t>
        </w:r>
      </w:hyperlink>
    </w:p>
    <w:p>
      <w:pPr>
        <w:numPr>
          <w:ilvl w:val="0"/>
          <w:numId w:val="1015"/>
        </w:numPr>
        <w:pStyle w:val="Compact"/>
      </w:pPr>
      <w:hyperlink r:id="rId63">
        <w:r>
          <w:rPr>
            <w:rStyle w:val="Hyperlink"/>
          </w:rPr>
          <w:t xml:space="preserve">ОЭЗ «Титановая долина» — путь резидента</w:t>
        </w:r>
      </w:hyperlink>
    </w:p>
    <w:p>
      <w:pPr>
        <w:numPr>
          <w:ilvl w:val="0"/>
          <w:numId w:val="1015"/>
        </w:numPr>
        <w:pStyle w:val="Compact"/>
      </w:pPr>
      <w:hyperlink r:id="rId64">
        <w:r>
          <w:rPr>
            <w:rStyle w:val="Hyperlink"/>
          </w:rPr>
          <w:t xml:space="preserve">ОЭЗ «Титановая долина» — Большая российская энциклопедия</w:t>
        </w:r>
      </w:hyperlink>
    </w:p>
    <w:p>
      <w:pPr>
        <w:numPr>
          <w:ilvl w:val="0"/>
          <w:numId w:val="1015"/>
        </w:numPr>
        <w:pStyle w:val="Compact"/>
      </w:pPr>
      <w:hyperlink r:id="rId65">
        <w:r>
          <w:rPr>
            <w:rStyle w:val="Hyperlink"/>
          </w:rPr>
          <w:t xml:space="preserve">НПЦ БАС создадут в Свердловской области — Правительство Свердловской области</w:t>
        </w:r>
      </w:hyperlink>
    </w:p>
    <w:p>
      <w:pPr>
        <w:numPr>
          <w:ilvl w:val="0"/>
          <w:numId w:val="1015"/>
        </w:numPr>
        <w:pStyle w:val="Compact"/>
      </w:pPr>
      <w:hyperlink r:id="rId66">
        <w:r>
          <w:rPr>
            <w:rStyle w:val="Hyperlink"/>
          </w:rPr>
          <w:t xml:space="preserve">НПЦ БАС в Свердловской области — Коммерсантъ</w:t>
        </w:r>
      </w:hyperlink>
    </w:p>
    <w:p>
      <w:pPr>
        <w:numPr>
          <w:ilvl w:val="0"/>
          <w:numId w:val="1015"/>
        </w:numPr>
        <w:pStyle w:val="Compact"/>
      </w:pPr>
      <w:hyperlink r:id="rId67">
        <w:r>
          <w:rPr>
            <w:rStyle w:val="Hyperlink"/>
          </w:rPr>
          <w:t xml:space="preserve">Продление льготного режима ТОСЭР моногородов — Правительство Свердловской области</w:t>
        </w:r>
      </w:hyperlink>
    </w:p>
    <w:p>
      <w:pPr>
        <w:pStyle w:val="FirstParagraph"/>
      </w:pPr>
      <w:r>
        <w:t xml:space="preserve">Обязательные по ТЗ, но</w:t>
      </w:r>
      <w:r>
        <w:t xml:space="preserve"> </w:t>
      </w:r>
      <w:r>
        <w:rPr>
          <w:bCs/>
          <w:b/>
        </w:rPr>
        <w:t xml:space="preserve">недоступные</w:t>
      </w:r>
      <w:r>
        <w:t xml:space="preserve"> </w:t>
      </w:r>
      <w:r>
        <w:t xml:space="preserve">из этой среды:</w:t>
      </w:r>
      <w:r>
        <w:t xml:space="preserve"> </w:t>
      </w:r>
      <w:r>
        <w:rPr>
          <w:rStyle w:val="VerbatimChar"/>
        </w:rPr>
        <w:t xml:space="preserve">pkk.rosreestr.ru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invest.economy.gov.ru</w:t>
      </w:r>
      <w:r>
        <w:t xml:space="preserve">, ГИСП,</w:t>
      </w:r>
      <w:r>
        <w:t xml:space="preserve"> </w:t>
      </w:r>
      <w:r>
        <w:rPr>
          <w:rStyle w:val="VerbatimChar"/>
        </w:rPr>
        <w:t xml:space="preserve">pravo.gov66.ru</w:t>
      </w:r>
      <w:r>
        <w:t xml:space="preserve">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7" Target="https://base.garant.ru/75062082/53f89421bbdaf741eb2d1ecc4ddb4c33/" TargetMode="External" /><Relationship Type="http://schemas.openxmlformats.org/officeDocument/2006/relationships/hyperlink" Id="rId64" Target="https://bigenc.ru/c/osobaia-ekonomicheskaia-zona-titanovaia-dolina-1591a1" TargetMode="External" /><Relationship Type="http://schemas.openxmlformats.org/officeDocument/2006/relationships/hyperlink" Id="rId49" Target="https://giod.inelt.com/documents/231525" TargetMode="External" /><Relationship Type="http://schemas.openxmlformats.org/officeDocument/2006/relationships/hyperlink" Id="rId52" Target="https://invest-in-ural.ru/support-measures/masshtabnyj-investicionnyj-proekt-mip/" TargetMode="External" /><Relationship Type="http://schemas.openxmlformats.org/officeDocument/2006/relationships/hyperlink" Id="rId51" Target="https://investinregions.ru/regions/66/measures/23596/" TargetMode="External" /><Relationship Type="http://schemas.openxmlformats.org/officeDocument/2006/relationships/hyperlink" Id="rId61" Target="https://landlawfirm.ru/novosti-otrasli/kassacziya-obyasnila-kogda-mozhno-poluchit-zemlyu-bez-torgov-dlya-importozameshheniya/" TargetMode="External" /><Relationship Type="http://schemas.openxmlformats.org/officeDocument/2006/relationships/hyperlink" Id="rId65" Target="https://midural.ru/news/list/document226895/" TargetMode="External" /><Relationship Type="http://schemas.openxmlformats.org/officeDocument/2006/relationships/hyperlink" Id="rId67" Target="https://midural.ru/news/munitsipal/page31/document199915/" TargetMode="External" /><Relationship Type="http://schemas.openxmlformats.org/officeDocument/2006/relationships/hyperlink" Id="rId48" Target="https://mir.midural.ru/activity/2834/" TargetMode="External" /><Relationship Type="http://schemas.openxmlformats.org/officeDocument/2006/relationships/hyperlink" Id="rId47" Target="https://mir.midural.ru/masshtabnye-investicionnye-proekty" TargetMode="External" /><Relationship Type="http://schemas.openxmlformats.org/officeDocument/2006/relationships/hyperlink" Id="rId58" Target="https://www.consultant.ru/document/cons_doc_LAW_173335/92d969e26a4326c5d02fa79b8f9cf4994ee5633b/" TargetMode="External" /><Relationship Type="http://schemas.openxmlformats.org/officeDocument/2006/relationships/hyperlink" Id="rId53" Target="https://www.consultant.ru/document/cons_doc_LAW_33773/" TargetMode="External" /><Relationship Type="http://schemas.openxmlformats.org/officeDocument/2006/relationships/hyperlink" Id="rId56" Target="https://www.consultant.ru/document/cons_doc_LAW_33773/64b343b0932d1692df85decb23577c8dcdc78656/" TargetMode="External" /><Relationship Type="http://schemas.openxmlformats.org/officeDocument/2006/relationships/hyperlink" Id="rId54" Target="https://www.consultant.ru/document/cons_doc_LAW_33773/66b2d64fc0b4395d1f28d4852a88f9127f67a146/" TargetMode="External" /><Relationship Type="http://schemas.openxmlformats.org/officeDocument/2006/relationships/hyperlink" Id="rId55" Target="https://www.consultant.ru/document/cons_doc_LAW_33773/a3ce4fe2b7f2b04c5bfb5f1ec582cdde1e5db15e/" TargetMode="External" /><Relationship Type="http://schemas.openxmlformats.org/officeDocument/2006/relationships/hyperlink" Id="rId50" Target="https://www.garant.ru/hotlaw/sverdlovsk/1149281/" TargetMode="External" /><Relationship Type="http://schemas.openxmlformats.org/officeDocument/2006/relationships/hyperlink" Id="rId60" Target="https://www.garant.ru/news/1538535/" TargetMode="External" /><Relationship Type="http://schemas.openxmlformats.org/officeDocument/2006/relationships/hyperlink" Id="rId59" Target="https://www.garant.ru/products/ipo/prime/doc/404366226/" TargetMode="External" /><Relationship Type="http://schemas.openxmlformats.org/officeDocument/2006/relationships/hyperlink" Id="rId66" Target="https://www.kommersant.ru/doc/8588069" TargetMode="External" /><Relationship Type="http://schemas.openxmlformats.org/officeDocument/2006/relationships/hyperlink" Id="rId62" Target="https://www.titanium-valley.com/" TargetMode="External" /><Relationship Type="http://schemas.openxmlformats.org/officeDocument/2006/relationships/hyperlink" Id="rId63" Target="https://www.titanium-valley.com/resident-wa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base.garant.ru/75062082/53f89421bbdaf741eb2d1ecc4ddb4c33/" TargetMode="External" /><Relationship Type="http://schemas.openxmlformats.org/officeDocument/2006/relationships/hyperlink" Id="rId64" Target="https://bigenc.ru/c/osobaia-ekonomicheskaia-zona-titanovaia-dolina-1591a1" TargetMode="External" /><Relationship Type="http://schemas.openxmlformats.org/officeDocument/2006/relationships/hyperlink" Id="rId49" Target="https://giod.inelt.com/documents/231525" TargetMode="External" /><Relationship Type="http://schemas.openxmlformats.org/officeDocument/2006/relationships/hyperlink" Id="rId52" Target="https://invest-in-ural.ru/support-measures/masshtabnyj-investicionnyj-proekt-mip/" TargetMode="External" /><Relationship Type="http://schemas.openxmlformats.org/officeDocument/2006/relationships/hyperlink" Id="rId51" Target="https://investinregions.ru/regions/66/measures/23596/" TargetMode="External" /><Relationship Type="http://schemas.openxmlformats.org/officeDocument/2006/relationships/hyperlink" Id="rId61" Target="https://landlawfirm.ru/novosti-otrasli/kassacziya-obyasnila-kogda-mozhno-poluchit-zemlyu-bez-torgov-dlya-importozameshheniya/" TargetMode="External" /><Relationship Type="http://schemas.openxmlformats.org/officeDocument/2006/relationships/hyperlink" Id="rId65" Target="https://midural.ru/news/list/document226895/" TargetMode="External" /><Relationship Type="http://schemas.openxmlformats.org/officeDocument/2006/relationships/hyperlink" Id="rId67" Target="https://midural.ru/news/munitsipal/page31/document199915/" TargetMode="External" /><Relationship Type="http://schemas.openxmlformats.org/officeDocument/2006/relationships/hyperlink" Id="rId48" Target="https://mir.midural.ru/activity/2834/" TargetMode="External" /><Relationship Type="http://schemas.openxmlformats.org/officeDocument/2006/relationships/hyperlink" Id="rId47" Target="https://mir.midural.ru/masshtabnye-investicionnye-proekty" TargetMode="External" /><Relationship Type="http://schemas.openxmlformats.org/officeDocument/2006/relationships/hyperlink" Id="rId58" Target="https://www.consultant.ru/document/cons_doc_LAW_173335/92d969e26a4326c5d02fa79b8f9cf4994ee5633b/" TargetMode="External" /><Relationship Type="http://schemas.openxmlformats.org/officeDocument/2006/relationships/hyperlink" Id="rId53" Target="https://www.consultant.ru/document/cons_doc_LAW_33773/" TargetMode="External" /><Relationship Type="http://schemas.openxmlformats.org/officeDocument/2006/relationships/hyperlink" Id="rId56" Target="https://www.consultant.ru/document/cons_doc_LAW_33773/64b343b0932d1692df85decb23577c8dcdc78656/" TargetMode="External" /><Relationship Type="http://schemas.openxmlformats.org/officeDocument/2006/relationships/hyperlink" Id="rId54" Target="https://www.consultant.ru/document/cons_doc_LAW_33773/66b2d64fc0b4395d1f28d4852a88f9127f67a146/" TargetMode="External" /><Relationship Type="http://schemas.openxmlformats.org/officeDocument/2006/relationships/hyperlink" Id="rId55" Target="https://www.consultant.ru/document/cons_doc_LAW_33773/a3ce4fe2b7f2b04c5bfb5f1ec582cdde1e5db15e/" TargetMode="External" /><Relationship Type="http://schemas.openxmlformats.org/officeDocument/2006/relationships/hyperlink" Id="rId50" Target="https://www.garant.ru/hotlaw/sverdlovsk/1149281/" TargetMode="External" /><Relationship Type="http://schemas.openxmlformats.org/officeDocument/2006/relationships/hyperlink" Id="rId60" Target="https://www.garant.ru/news/1538535/" TargetMode="External" /><Relationship Type="http://schemas.openxmlformats.org/officeDocument/2006/relationships/hyperlink" Id="rId59" Target="https://www.garant.ru/products/ipo/prime/doc/404366226/" TargetMode="External" /><Relationship Type="http://schemas.openxmlformats.org/officeDocument/2006/relationships/hyperlink" Id="rId66" Target="https://www.kommersant.ru/doc/8588069" TargetMode="External" /><Relationship Type="http://schemas.openxmlformats.org/officeDocument/2006/relationships/hyperlink" Id="rId62" Target="https://www.titanium-valley.com/" TargetMode="External" /><Relationship Type="http://schemas.openxmlformats.org/officeDocument/2006/relationships/hyperlink" Id="rId63" Target="https://www.titanium-valley.com/resident-wa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2026-10-25T11:33:06Z</dcterms:created>
  <dcterms:modified xsi:type="dcterms:W3CDTF">2026-10-25T11:33:06Z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