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161B"/>
          <w:sz w:val="56"/>
        </w:rPr>
        <w:t>The Hughes Practice</w:t>
      </w:r>
    </w:p>
    <w:p>
      <w:pPr>
        <w:spacing w:after="160"/>
      </w:pPr>
      <w:r>
        <w:rPr>
          <w:rFonts w:ascii="Arial" w:hAnsi="Arial"/>
          <w:b/>
          <w:color w:val="358F5E"/>
          <w:sz w:val="24"/>
        </w:rPr>
        <w:t>Brand &amp; Style Guide</w:t>
      </w:r>
    </w:p>
    <w:p>
      <w:pPr>
        <w:spacing w:after="200"/>
      </w:pPr>
      <w:r>
        <w:rPr>
          <w:color w:val="56545E"/>
        </w:rPr>
        <w:t>A single reference for how the website looks, sounds and behaves — so every future change stays consistent. Colours, type and components below mirror the live site.</w:t>
      </w:r>
    </w:p>
    <w:p/>
    <w:p>
      <w:pPr>
        <w:spacing w:after="40"/>
      </w:pPr>
      <w:r>
        <w:rPr>
          <w:rFonts w:ascii="Arial" w:hAnsi="Arial"/>
          <w:b/>
          <w:color w:val="358F5E"/>
          <w:sz w:val="16"/>
          <w:spacing w:val="30"/>
        </w:rPr>
        <w:t>01 — PERSONALITY</w:t>
      </w:r>
    </w:p>
    <w:p>
      <w:pPr>
        <w:pStyle w:val="Heading1"/>
        <w:spacing w:before="80"/>
      </w:pPr>
      <w:r>
        <w:rPr>
          <w:rFonts w:ascii="Arial" w:hAnsi="Arial"/>
          <w:b/>
          <w:color w:val="17161B"/>
        </w:rPr>
        <w:t>Brand personality</w:t>
      </w:r>
    </w:p>
    <w:p>
      <w:pPr>
        <w:spacing w:after="200"/>
      </w:pPr>
      <w:r>
        <w:rPr>
          <w:color w:val="56545E"/>
        </w:rPr>
        <w:t>Warm, calm and human, with quiet confidence. The practice should feel like a safe, unhurried space — never clinical, never salesy. Modern and considered, but soft.</w:t>
      </w:r>
    </w:p>
    <w:p>
      <w:r>
        <w:rPr>
          <w:b/>
          <w:color w:val="358F5E"/>
        </w:rPr>
        <w:t>Calm  ·  Warm  ·  Trustworthy  ·  Unhurried  ·  Human  ·  Approachable</w:t>
      </w:r>
    </w:p>
    <w:p>
      <w:pPr>
        <w:spacing w:after="40"/>
      </w:pPr>
      <w:r>
        <w:rPr>
          <w:rFonts w:ascii="Arial" w:hAnsi="Arial"/>
          <w:b/>
          <w:color w:val="358F5E"/>
          <w:sz w:val="16"/>
          <w:spacing w:val="30"/>
        </w:rPr>
        <w:t>02 — LOGO</w:t>
      </w:r>
    </w:p>
    <w:p>
      <w:pPr>
        <w:pStyle w:val="Heading1"/>
        <w:spacing w:before="80"/>
      </w:pPr>
      <w:r>
        <w:rPr>
          <w:rFonts w:ascii="Arial" w:hAnsi="Arial"/>
          <w:b/>
          <w:color w:val="17161B"/>
        </w:rPr>
        <w:t>Logo</w:t>
      </w:r>
    </w:p>
    <w:p>
      <w:pPr>
        <w:spacing w:after="200"/>
      </w:pPr>
      <w:r>
        <w:rPr>
          <w:color w:val="56545E"/>
        </w:rPr>
        <w:t>The wordmark reads THE HUGHES PRACTICE with the subtitle THERAPY FOR REAL LIFE. Title set in Cagliostro, subtitle in Yaldevi (both baked into the artwork).</w:t>
      </w:r>
    </w:p>
    <w:p>
      <w:r>
        <w:drawing>
          <wp:inline xmlns:a="http://schemas.openxmlformats.org/drawingml/2006/main" xmlns:pic="http://schemas.openxmlformats.org/drawingml/2006/picture">
            <wp:extent cx="2926080" cy="444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44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rPr>
          <w:rFonts w:ascii="Arial" w:hAnsi="Arial"/>
          <w:b/>
          <w:color w:val="17161B"/>
        </w:rPr>
        <w:t>Usage</w:t>
      </w:r>
    </w:p>
    <w:p>
      <w:pPr>
        <w:pStyle w:val="IntenseQuote"/>
      </w:pPr>
      <w:r>
        <w:t>Do</w:t>
      </w:r>
    </w:p>
    <w:p>
      <w:pPr>
        <w:pStyle w:val="ListBullet"/>
        <w:spacing w:after="40"/>
      </w:pPr>
      <w:r>
        <w:t>Use the black wordmark on light backgrounds (BRISK / white).</w:t>
      </w:r>
    </w:p>
    <w:p>
      <w:pPr>
        <w:pStyle w:val="ListBullet"/>
        <w:spacing w:after="40"/>
      </w:pPr>
      <w:r>
        <w:t>On dark backgrounds, use an off-white version of the wordmark.</w:t>
      </w:r>
    </w:p>
    <w:p>
      <w:pPr>
        <w:pStyle w:val="ListBullet"/>
        <w:spacing w:after="40"/>
      </w:pPr>
      <w:r>
        <w:t>Give it clear space; keep it around 50px tall in the site header.</w:t>
      </w:r>
    </w:p>
    <w:p>
      <w:pPr>
        <w:pStyle w:val="IntenseQuote"/>
      </w:pPr>
      <w:r>
        <w:t>Don't</w:t>
      </w:r>
    </w:p>
    <w:p>
      <w:pPr>
        <w:pStyle w:val="ListBullet"/>
        <w:spacing w:after="40"/>
      </w:pPr>
      <w:r>
        <w:t>Place the black logo on a dark or busy background.</w:t>
      </w:r>
    </w:p>
    <w:p>
      <w:pPr>
        <w:pStyle w:val="ListBullet"/>
        <w:spacing w:after="40"/>
      </w:pPr>
      <w:r>
        <w:t>Stretch, recolour arbitrarily, or add effects.</w:t>
      </w:r>
    </w:p>
    <w:p>
      <w:pPr>
        <w:pStyle w:val="ListBullet"/>
        <w:spacing w:after="40"/>
      </w:pPr>
      <w:r>
        <w:t>Re-type the name in another font instead of using the artwork.</w:t>
      </w:r>
    </w:p>
    <w:p>
      <w:pPr>
        <w:spacing w:after="40"/>
      </w:pPr>
      <w:r>
        <w:rPr>
          <w:rFonts w:ascii="Arial" w:hAnsi="Arial"/>
          <w:b/>
          <w:color w:val="358F5E"/>
          <w:sz w:val="16"/>
          <w:spacing w:val="30"/>
        </w:rPr>
        <w:t>03 — COLOUR</w:t>
      </w:r>
    </w:p>
    <w:p>
      <w:pPr>
        <w:pStyle w:val="Heading1"/>
        <w:spacing w:before="80"/>
      </w:pPr>
      <w:r>
        <w:rPr>
          <w:rFonts w:ascii="Arial" w:hAnsi="Arial"/>
          <w:b/>
          <w:color w:val="17161B"/>
        </w:rPr>
        <w:t>Colour palette</w:t>
      </w:r>
    </w:p>
    <w:p>
      <w:pPr>
        <w:spacing w:after="200"/>
      </w:pPr>
      <w:r>
        <w:rPr>
          <w:color w:val="56545E"/>
        </w:rPr>
        <w:t>A clean off-white canvas with pops of colour. Named brand colours carry the personality; neutrals carry the text. Use one or two colour accents per section — never all at once.</w:t>
      </w:r>
    </w:p>
    <w:p>
      <w:pPr>
        <w:pStyle w:val="Heading2"/>
        <w:spacing w:before="200"/>
      </w:pPr>
      <w:r>
        <w:rPr>
          <w:rFonts w:ascii="Arial" w:hAnsi="Arial"/>
          <w:b/>
          <w:color w:val="17161B"/>
        </w:rPr>
        <w:t>Brand colours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r/>
            <w:r>
              <w:rPr>
                <w:b/>
                <w:color w:val="17161B"/>
                <w:sz w:val="18"/>
              </w:rPr>
              <w:t>Swatch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17161B"/>
                <w:sz w:val="18"/>
              </w:rPr>
              <w:t>Colour</w:t>
            </w:r>
          </w:p>
        </w:tc>
        <w:tc>
          <w:tcPr>
            <w:tcW w:type="dxa" w:w="5184"/>
          </w:tcPr>
          <w:p>
            <w:r/>
            <w:r>
              <w:rPr>
                <w:b/>
                <w:color w:val="17161B"/>
                <w:sz w:val="18"/>
              </w:rPr>
              <w:t>Role / usage</w:t>
            </w:r>
          </w:p>
        </w:tc>
      </w:tr>
      <w:tr>
        <w:tc>
          <w:tcPr>
            <w:tcW w:type="dxa" w:w="1296"/>
            <w:shd w:val="clear" w:color="auto" w:fill="AFBFD8"/>
          </w:tcPr>
          <w:p>
            <w:r/>
          </w:p>
        </w:tc>
        <w:tc>
          <w:tcPr>
            <w:tcW w:type="dxa" w:w="2736"/>
          </w:tcPr>
          <w:p>
            <w:r/>
            <w:r>
              <w:rPr>
                <w:b/>
                <w:color w:val="17161B"/>
                <w:sz w:val="19"/>
              </w:rPr>
              <w:t>LIDO — Soft blue</w:t>
            </w:r>
          </w:p>
          <w:p>
            <w:pPr>
              <w:spacing w:before="0"/>
            </w:pPr>
            <w:r>
              <w:rPr>
                <w:color w:val="56545E"/>
                <w:sz w:val="18"/>
              </w:rPr>
              <w:t>#AFBFD8</w:t>
            </w:r>
          </w:p>
        </w:tc>
        <w:tc>
          <w:tcPr>
            <w:tcW w:type="dxa" w:w="5184"/>
          </w:tcPr>
          <w:p>
            <w:r/>
            <w:r>
              <w:rPr>
                <w:color w:val="17161B"/>
                <w:sz w:val="19"/>
              </w:rPr>
              <w:t>Announcement bar, the “Getting started” band, calm accents. Dark text on it.</w:t>
            </w:r>
          </w:p>
        </w:tc>
      </w:tr>
      <w:tr>
        <w:tc>
          <w:tcPr>
            <w:tcW w:type="dxa" w:w="1296"/>
            <w:shd w:val="clear" w:color="auto" w:fill="CB7FB4"/>
          </w:tcPr>
          <w:p>
            <w:r/>
          </w:p>
        </w:tc>
        <w:tc>
          <w:tcPr>
            <w:tcW w:type="dxa" w:w="2736"/>
          </w:tcPr>
          <w:p>
            <w:r/>
            <w:r>
              <w:rPr>
                <w:b/>
                <w:color w:val="17161B"/>
                <w:sz w:val="19"/>
              </w:rPr>
              <w:t>EROS — Pink</w:t>
            </w:r>
          </w:p>
          <w:p>
            <w:pPr>
              <w:spacing w:before="0"/>
            </w:pPr>
            <w:r>
              <w:rPr>
                <w:color w:val="56545E"/>
                <w:sz w:val="18"/>
              </w:rPr>
              <w:t>#CB7FB4</w:t>
            </w:r>
          </w:p>
        </w:tc>
        <w:tc>
          <w:tcPr>
            <w:tcW w:type="dxa" w:w="5184"/>
          </w:tcPr>
          <w:p>
            <w:r/>
            <w:r>
              <w:rPr>
                <w:color w:val="17161B"/>
                <w:sz w:val="19"/>
              </w:rPr>
              <w:t>Primary hero CTA, benefit icon circles, playful accents. Dark text on it.</w:t>
            </w:r>
          </w:p>
        </w:tc>
      </w:tr>
      <w:tr>
        <w:tc>
          <w:tcPr>
            <w:tcW w:type="dxa" w:w="1296"/>
            <w:shd w:val="clear" w:color="auto" w:fill="358F5E"/>
          </w:tcPr>
          <w:p>
            <w:r/>
          </w:p>
        </w:tc>
        <w:tc>
          <w:tcPr>
            <w:tcW w:type="dxa" w:w="2736"/>
          </w:tcPr>
          <w:p>
            <w:r/>
            <w:r>
              <w:rPr>
                <w:b/>
                <w:color w:val="17161B"/>
                <w:sz w:val="19"/>
              </w:rPr>
              <w:t>DAZE — Green</w:t>
            </w:r>
          </w:p>
          <w:p>
            <w:pPr>
              <w:spacing w:before="0"/>
            </w:pPr>
            <w:r>
              <w:rPr>
                <w:color w:val="56545E"/>
                <w:sz w:val="18"/>
              </w:rPr>
              <w:t>#358F5E</w:t>
            </w:r>
          </w:p>
        </w:tc>
        <w:tc>
          <w:tcPr>
            <w:tcW w:type="dxa" w:w="5184"/>
          </w:tcPr>
          <w:p>
            <w:r/>
            <w:r>
              <w:rPr>
                <w:color w:val="17161B"/>
                <w:sz w:val="19"/>
              </w:rPr>
              <w:t>Primary accent: links, final CTA band, accordion markers. White text on it.</w:t>
            </w:r>
          </w:p>
        </w:tc>
      </w:tr>
      <w:tr>
        <w:tc>
          <w:tcPr>
            <w:tcW w:type="dxa" w:w="1296"/>
            <w:shd w:val="clear" w:color="auto" w:fill="F1AB85"/>
          </w:tcPr>
          <w:p>
            <w:r/>
          </w:p>
        </w:tc>
        <w:tc>
          <w:tcPr>
            <w:tcW w:type="dxa" w:w="2736"/>
          </w:tcPr>
          <w:p>
            <w:r/>
            <w:r>
              <w:rPr>
                <w:b/>
                <w:color w:val="17161B"/>
                <w:sz w:val="19"/>
              </w:rPr>
              <w:t>APRICOT — Warm</w:t>
            </w:r>
          </w:p>
          <w:p>
            <w:pPr>
              <w:spacing w:before="0"/>
            </w:pPr>
            <w:r>
              <w:rPr>
                <w:color w:val="56545E"/>
                <w:sz w:val="18"/>
              </w:rPr>
              <w:t>#F1AB85</w:t>
            </w:r>
          </w:p>
        </w:tc>
        <w:tc>
          <w:tcPr>
            <w:tcW w:type="dxa" w:w="5184"/>
          </w:tcPr>
          <w:p>
            <w:r/>
            <w:r>
              <w:rPr>
                <w:color w:val="17161B"/>
                <w:sz w:val="19"/>
              </w:rPr>
              <w:t>“Send message” button, testimonial quote marks, warm accent. Dark text.</w:t>
            </w:r>
          </w:p>
        </w:tc>
      </w:tr>
      <w:tr>
        <w:tc>
          <w:tcPr>
            <w:tcW w:type="dxa" w:w="1296"/>
            <w:shd w:val="clear" w:color="auto" w:fill="EFEAE1"/>
          </w:tcPr>
          <w:p>
            <w:r/>
          </w:p>
        </w:tc>
        <w:tc>
          <w:tcPr>
            <w:tcW w:type="dxa" w:w="2736"/>
          </w:tcPr>
          <w:p>
            <w:r/>
            <w:r>
              <w:rPr>
                <w:b/>
                <w:color w:val="17161B"/>
                <w:sz w:val="19"/>
              </w:rPr>
              <w:t>BRISK — Off-white</w:t>
            </w:r>
          </w:p>
          <w:p>
            <w:pPr>
              <w:spacing w:before="0"/>
            </w:pPr>
            <w:r>
              <w:rPr>
                <w:color w:val="56545E"/>
                <w:sz w:val="18"/>
              </w:rPr>
              <w:t>#EFEAE1</w:t>
            </w:r>
          </w:p>
        </w:tc>
        <w:tc>
          <w:tcPr>
            <w:tcW w:type="dxa" w:w="5184"/>
          </w:tcPr>
          <w:p>
            <w:r/>
            <w:r>
              <w:rPr>
                <w:color w:val="17161B"/>
                <w:sz w:val="19"/>
              </w:rPr>
              <w:t>The base page background, nav and footer. The calm canvas everything sits on.</w:t>
            </w:r>
          </w:p>
        </w:tc>
      </w:tr>
      <w:tr>
        <w:tc>
          <w:tcPr>
            <w:tcW w:type="dxa" w:w="1296"/>
            <w:shd w:val="clear" w:color="auto" w:fill="E8593B"/>
          </w:tcPr>
          <w:p>
            <w:r/>
          </w:p>
        </w:tc>
        <w:tc>
          <w:tcPr>
            <w:tcW w:type="dxa" w:w="2736"/>
          </w:tcPr>
          <w:p>
            <w:r/>
            <w:r>
              <w:rPr>
                <w:b/>
                <w:color w:val="17161B"/>
                <w:sz w:val="19"/>
              </w:rPr>
              <w:t>Coral — Action</w:t>
            </w:r>
          </w:p>
          <w:p>
            <w:pPr>
              <w:spacing w:before="0"/>
            </w:pPr>
            <w:r>
              <w:rPr>
                <w:color w:val="56545E"/>
                <w:sz w:val="18"/>
              </w:rPr>
              <w:t>#E8593B</w:t>
            </w:r>
          </w:p>
        </w:tc>
        <w:tc>
          <w:tcPr>
            <w:tcW w:type="dxa" w:w="5184"/>
          </w:tcPr>
          <w:p>
            <w:r/>
            <w:r>
              <w:rPr>
                <w:color w:val="17161B"/>
                <w:sz w:val="19"/>
              </w:rPr>
              <w:t>Reserved for the “Book a free call” nav button. High-energy; use sparingly.</w:t>
            </w:r>
          </w:p>
        </w:tc>
      </w:tr>
    </w:tbl>
    <w:p/>
    <w:p>
      <w:pPr>
        <w:pStyle w:val="Heading2"/>
        <w:spacing w:before="200"/>
      </w:pPr>
      <w:r>
        <w:rPr>
          <w:rFonts w:ascii="Arial" w:hAnsi="Arial"/>
          <w:b/>
          <w:color w:val="17161B"/>
        </w:rPr>
        <w:t>Neutrals &amp; text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r/>
            <w:r>
              <w:rPr>
                <w:b/>
                <w:color w:val="17161B"/>
                <w:sz w:val="18"/>
              </w:rPr>
              <w:t>Swatch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17161B"/>
                <w:sz w:val="18"/>
              </w:rPr>
              <w:t>Colour</w:t>
            </w:r>
          </w:p>
        </w:tc>
        <w:tc>
          <w:tcPr>
            <w:tcW w:type="dxa" w:w="5184"/>
          </w:tcPr>
          <w:p>
            <w:r/>
            <w:r>
              <w:rPr>
                <w:b/>
                <w:color w:val="17161B"/>
                <w:sz w:val="18"/>
              </w:rPr>
              <w:t>Role / usage</w:t>
            </w:r>
          </w:p>
        </w:tc>
      </w:tr>
      <w:tr>
        <w:tc>
          <w:tcPr>
            <w:tcW w:type="dxa" w:w="1296"/>
            <w:shd w:val="clear" w:color="auto" w:fill="17161B"/>
          </w:tcPr>
          <w:p>
            <w:r/>
          </w:p>
        </w:tc>
        <w:tc>
          <w:tcPr>
            <w:tcW w:type="dxa" w:w="2736"/>
          </w:tcPr>
          <w:p>
            <w:r/>
            <w:r>
              <w:rPr>
                <w:b/>
                <w:color w:val="17161B"/>
                <w:sz w:val="19"/>
              </w:rPr>
              <w:t>Ink</w:t>
            </w:r>
          </w:p>
          <w:p>
            <w:pPr>
              <w:spacing w:before="0"/>
            </w:pPr>
            <w:r>
              <w:rPr>
                <w:color w:val="56545E"/>
                <w:sz w:val="18"/>
              </w:rPr>
              <w:t>#17161B</w:t>
            </w:r>
          </w:p>
        </w:tc>
        <w:tc>
          <w:tcPr>
            <w:tcW w:type="dxa" w:w="5184"/>
          </w:tcPr>
          <w:p>
            <w:r/>
            <w:r>
              <w:rPr>
                <w:color w:val="17161B"/>
                <w:sz w:val="19"/>
              </w:rPr>
              <w:t>Default text and headings.</w:t>
            </w:r>
          </w:p>
        </w:tc>
      </w:tr>
      <w:tr>
        <w:tc>
          <w:tcPr>
            <w:tcW w:type="dxa" w:w="1296"/>
            <w:shd w:val="clear" w:color="auto" w:fill="56545E"/>
          </w:tcPr>
          <w:p>
            <w:r/>
          </w:p>
        </w:tc>
        <w:tc>
          <w:tcPr>
            <w:tcW w:type="dxa" w:w="2736"/>
          </w:tcPr>
          <w:p>
            <w:r/>
            <w:r>
              <w:rPr>
                <w:b/>
                <w:color w:val="17161B"/>
                <w:sz w:val="19"/>
              </w:rPr>
              <w:t>Ink soft</w:t>
            </w:r>
          </w:p>
          <w:p>
            <w:pPr>
              <w:spacing w:before="0"/>
            </w:pPr>
            <w:r>
              <w:rPr>
                <w:color w:val="56545E"/>
                <w:sz w:val="18"/>
              </w:rPr>
              <w:t>#56545E</w:t>
            </w:r>
          </w:p>
        </w:tc>
        <w:tc>
          <w:tcPr>
            <w:tcW w:type="dxa" w:w="5184"/>
          </w:tcPr>
          <w:p>
            <w:r/>
            <w:r>
              <w:rPr>
                <w:color w:val="17161B"/>
                <w:sz w:val="19"/>
              </w:rPr>
              <w:t>Secondary / supporting text.</w:t>
            </w:r>
          </w:p>
        </w:tc>
      </w:tr>
      <w:tr>
        <w:tc>
          <w:tcPr>
            <w:tcW w:type="dxa" w:w="1296"/>
            <w:shd w:val="clear" w:color="auto" w:fill="1C1C22"/>
          </w:tcPr>
          <w:p>
            <w:r/>
          </w:p>
        </w:tc>
        <w:tc>
          <w:tcPr>
            <w:tcW w:type="dxa" w:w="2736"/>
          </w:tcPr>
          <w:p>
            <w:r/>
            <w:r>
              <w:rPr>
                <w:b/>
                <w:color w:val="17161B"/>
                <w:sz w:val="19"/>
              </w:rPr>
              <w:t>Dark surface</w:t>
            </w:r>
          </w:p>
          <w:p>
            <w:pPr>
              <w:spacing w:before="0"/>
            </w:pPr>
            <w:r>
              <w:rPr>
                <w:color w:val="56545E"/>
                <w:sz w:val="18"/>
              </w:rPr>
              <w:t>#1C1C22</w:t>
            </w:r>
          </w:p>
        </w:tc>
        <w:tc>
          <w:tcPr>
            <w:tcW w:type="dxa" w:w="5184"/>
          </w:tcPr>
          <w:p>
            <w:r/>
            <w:r>
              <w:rPr>
                <w:color w:val="17161B"/>
                <w:sz w:val="19"/>
              </w:rPr>
              <w:t>Near-black; used sparingly for contrast (e.g. button text on apricot).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/>
          </w:p>
        </w:tc>
        <w:tc>
          <w:tcPr>
            <w:tcW w:type="dxa" w:w="2736"/>
          </w:tcPr>
          <w:p>
            <w:r/>
            <w:r>
              <w:rPr>
                <w:b/>
                <w:color w:val="17161B"/>
                <w:sz w:val="19"/>
              </w:rPr>
              <w:t>Paper / White</w:t>
            </w:r>
          </w:p>
          <w:p>
            <w:pPr>
              <w:spacing w:before="0"/>
            </w:pPr>
            <w:r>
              <w:rPr>
                <w:color w:val="56545E"/>
                <w:sz w:val="18"/>
              </w:rPr>
              <w:t>#FFFFFF</w:t>
            </w:r>
          </w:p>
        </w:tc>
        <w:tc>
          <w:tcPr>
            <w:tcW w:type="dxa" w:w="5184"/>
          </w:tcPr>
          <w:p>
            <w:r/>
            <w:r>
              <w:rPr>
                <w:color w:val="17161B"/>
                <w:sz w:val="19"/>
              </w:rPr>
              <w:t>Cards, form fields, alternating section background.</w:t>
            </w:r>
          </w:p>
        </w:tc>
      </w:tr>
      <w:tr>
        <w:tc>
          <w:tcPr>
            <w:tcW w:type="dxa" w:w="1296"/>
            <w:shd w:val="clear" w:color="auto" w:fill="E4DED3"/>
          </w:tcPr>
          <w:p>
            <w:r/>
          </w:p>
        </w:tc>
        <w:tc>
          <w:tcPr>
            <w:tcW w:type="dxa" w:w="2736"/>
          </w:tcPr>
          <w:p>
            <w:r/>
            <w:r>
              <w:rPr>
                <w:b/>
                <w:color w:val="17161B"/>
                <w:sz w:val="19"/>
              </w:rPr>
              <w:t>Hairline</w:t>
            </w:r>
          </w:p>
          <w:p>
            <w:pPr>
              <w:spacing w:before="0"/>
            </w:pPr>
            <w:r>
              <w:rPr>
                <w:color w:val="56545E"/>
                <w:sz w:val="18"/>
              </w:rPr>
              <w:t>#E4DED3</w:t>
            </w:r>
          </w:p>
        </w:tc>
        <w:tc>
          <w:tcPr>
            <w:tcW w:type="dxa" w:w="5184"/>
          </w:tcPr>
          <w:p>
            <w:r/>
            <w:r>
              <w:rPr>
                <w:color w:val="17161B"/>
                <w:sz w:val="19"/>
              </w:rPr>
              <w:t>Borders, dividers, card outlines.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color w:val="358F5E"/>
          <w:sz w:val="16"/>
          <w:spacing w:val="30"/>
        </w:rPr>
        <w:t>04 — TYPOGRAPHY</w:t>
      </w:r>
    </w:p>
    <w:p>
      <w:pPr>
        <w:pStyle w:val="Heading1"/>
        <w:spacing w:before="80"/>
      </w:pPr>
      <w:r>
        <w:rPr>
          <w:rFonts w:ascii="Arial" w:hAnsi="Arial"/>
          <w:b/>
          <w:color w:val="17161B"/>
        </w:rPr>
        <w:t>Typography</w:t>
      </w:r>
    </w:p>
    <w:p>
      <w:pPr>
        <w:spacing w:after="200"/>
      </w:pPr>
      <w:r>
        <w:rPr>
          <w:color w:val="56545E"/>
        </w:rPr>
        <w:t>One typeface throughout: Roboto Mono (Google Fonts). The monospace character gives the brand its distinctive, considered feel. Body text is ExtraLight (200); heavier weights are used only for emphasis and small labels.</w:t>
      </w:r>
    </w:p>
    <w:p>
      <w:pPr>
        <w:pStyle w:val="ListBullet"/>
        <w:spacing w:after="40"/>
      </w:pPr>
      <w:r>
        <w:t>Headings — Roboto Mono, ExtraLight 200, line-height 1.2. Hero heading scales up to ~4.5rem.</w:t>
      </w:r>
    </w:p>
    <w:p>
      <w:pPr>
        <w:pStyle w:val="ListBullet"/>
        <w:spacing w:after="40"/>
      </w:pPr>
      <w:r>
        <w:t>Body — Roboto Mono, ExtraLight 200, 17–18px, line-height 1.6.</w:t>
      </w:r>
    </w:p>
    <w:p>
      <w:pPr>
        <w:pStyle w:val="ListBullet"/>
        <w:spacing w:after="40"/>
      </w:pPr>
      <w:r>
        <w:t>Emphasis — italic (e.g. “things can begin to shift”).</w:t>
      </w:r>
    </w:p>
    <w:p>
      <w:pPr>
        <w:pStyle w:val="ListBullet"/>
        <w:spacing w:after="40"/>
      </w:pPr>
      <w:r>
        <w:t>Small labels / eyebrows — 600 weight, UPPERCASE, letter-spaced.</w:t>
      </w:r>
    </w:p>
    <w:p>
      <w:r>
        <w:t>Weights in use: 200 ExtraLight (body) · 300 Light (spaced CTAs) · 400 Regular (links) · 500 Medium (sub-labels) · 600 SemiBold (small caps labels).</w:t>
      </w:r>
    </w:p>
    <w:p>
      <w:r>
        <w:rPr>
          <w:i/>
          <w:color w:val="56545E"/>
          <w:sz w:val="19"/>
        </w:rPr>
        <w:t>Note: the logo’s own fonts (Cagliostro / Yaldevi) live only in the logo artwork and are not used elsewhere on the site.</w:t>
      </w:r>
    </w:p>
    <w:p>
      <w:pPr>
        <w:spacing w:after="40"/>
      </w:pPr>
      <w:r>
        <w:rPr>
          <w:rFonts w:ascii="Arial" w:hAnsi="Arial"/>
          <w:b/>
          <w:color w:val="358F5E"/>
          <w:sz w:val="16"/>
          <w:spacing w:val="30"/>
        </w:rPr>
        <w:t>05 — BUTTONS</w:t>
      </w:r>
    </w:p>
    <w:p>
      <w:pPr>
        <w:pStyle w:val="Heading1"/>
        <w:spacing w:before="80"/>
      </w:pPr>
      <w:r>
        <w:rPr>
          <w:rFonts w:ascii="Arial" w:hAnsi="Arial"/>
          <w:b/>
          <w:color w:val="17161B"/>
        </w:rPr>
        <w:t>Buttons</w:t>
      </w:r>
    </w:p>
    <w:p>
      <w:pPr>
        <w:spacing w:after="200"/>
      </w:pPr>
      <w:r>
        <w:rPr>
          <w:color w:val="56545E"/>
        </w:rPr>
        <w:t>All buttons are fully-rounded pills. Each has a defined role — don’t mix their colours or purposes.</w:t>
      </w:r>
    </w:p>
    <w:p>
      <w:pPr>
        <w:pStyle w:val="ListBullet"/>
        <w:spacing w:after="40"/>
      </w:pPr>
      <w:r>
        <w:t>Hero CTA (EROS pink) — main page call-to-action; UPPERCASE, letter-spaced, light weight (“ARRANGE A FREE CALL”).</w:t>
      </w:r>
    </w:p>
    <w:p>
      <w:pPr>
        <w:pStyle w:val="ListBullet"/>
        <w:spacing w:after="40"/>
      </w:pPr>
      <w:r>
        <w:t>Nav button (Coral) — “Book a free call” in the header only; white text.</w:t>
      </w:r>
    </w:p>
    <w:p>
      <w:pPr>
        <w:pStyle w:val="ListBullet"/>
        <w:spacing w:after="40"/>
      </w:pPr>
      <w:r>
        <w:t>Light (Apricot) — form submit (“Send message”); dark text.</w:t>
      </w:r>
    </w:p>
    <w:p>
      <w:pPr>
        <w:pStyle w:val="ListBullet"/>
        <w:spacing w:after="40"/>
      </w:pPr>
      <w:r>
        <w:t>Ghost (Green outline) — low-emphasis secondary actions.</w:t>
      </w:r>
    </w:p>
    <w:p>
      <w:pPr>
        <w:spacing w:after="40"/>
      </w:pPr>
      <w:r>
        <w:rPr>
          <w:rFonts w:ascii="Arial" w:hAnsi="Arial"/>
          <w:b/>
          <w:color w:val="358F5E"/>
          <w:sz w:val="16"/>
          <w:spacing w:val="30"/>
        </w:rPr>
        <w:t>06 — ICONOGRAPHY &amp; IMAGERY</w:t>
      </w:r>
    </w:p>
    <w:p>
      <w:pPr>
        <w:pStyle w:val="Heading1"/>
        <w:spacing w:before="80"/>
      </w:pPr>
      <w:r>
        <w:rPr>
          <w:rFonts w:ascii="Arial" w:hAnsi="Arial"/>
          <w:b/>
          <w:color w:val="17161B"/>
        </w:rPr>
        <w:t>Iconography &amp; imagery</w:t>
      </w:r>
    </w:p>
    <w:p>
      <w:pPr>
        <w:spacing w:after="200"/>
      </w:pPr>
      <w:r>
        <w:rPr>
          <w:color w:val="56545E"/>
        </w:rPr>
        <w:t>Simple single-line icons, drawn in black at an even, medium stroke weight (~2px). Keep all icons in one visual family and one weight.</w:t>
      </w:r>
    </w:p>
    <w:p>
      <w:pPr>
        <w:pStyle w:val="ListBullet"/>
        <w:spacing w:after="40"/>
      </w:pPr>
      <w:r>
        <w:t>Benefit icons: 56px circle, black icon inside; circle colour rotates EROS → LIDO → APRICOT.</w:t>
      </w:r>
    </w:p>
    <w:p>
      <w:pPr>
        <w:pStyle w:val="ListBullet"/>
        <w:spacing w:after="40"/>
      </w:pPr>
      <w:r>
        <w:t>Photography: real, natural, warm portraiture, in context.</w:t>
      </w:r>
    </w:p>
    <w:p>
      <w:pPr>
        <w:pStyle w:val="ListBullet"/>
        <w:spacing w:after="40"/>
      </w:pPr>
      <w:r>
        <w:t>Illustration: single-line and minimal (like the hero flower), kept understated so the words lead.</w:t>
      </w:r>
    </w:p>
    <w:p>
      <w:pPr>
        <w:spacing w:after="40"/>
      </w:pPr>
      <w:r>
        <w:rPr>
          <w:rFonts w:ascii="Arial" w:hAnsi="Arial"/>
          <w:b/>
          <w:color w:val="358F5E"/>
          <w:sz w:val="16"/>
          <w:spacing w:val="30"/>
        </w:rPr>
        <w:t>07 — COMPONENTS</w:t>
      </w:r>
    </w:p>
    <w:p>
      <w:pPr>
        <w:pStyle w:val="Heading1"/>
        <w:spacing w:before="80"/>
      </w:pPr>
      <w:r>
        <w:rPr>
          <w:rFonts w:ascii="Arial" w:hAnsi="Arial"/>
          <w:b/>
          <w:color w:val="17161B"/>
        </w:rPr>
        <w:t>Components</w:t>
      </w:r>
    </w:p>
    <w:p>
      <w:pPr>
        <w:pStyle w:val="ListBullet"/>
        <w:spacing w:after="40"/>
      </w:pPr>
      <w:r>
        <w:t>Announcement bar — a slim LIDO (soft blue) band at the very top for an optional light message.</w:t>
      </w:r>
    </w:p>
    <w:p>
      <w:pPr>
        <w:pStyle w:val="ListBullet"/>
        <w:spacing w:after="40"/>
      </w:pPr>
      <w:r>
        <w:t>Colour tags — pills rotating EROS → LIDO → DAZE → APRICOT, each with legible text (dark on light fills, white on green).</w:t>
      </w:r>
    </w:p>
    <w:p>
      <w:pPr>
        <w:pStyle w:val="ListBullet"/>
        <w:spacing w:after="40"/>
      </w:pPr>
      <w:r>
        <w:t>Cards — white, 1px hairline border, 18px corner radius.</w:t>
      </w:r>
    </w:p>
    <w:p>
      <w:pPr>
        <w:pStyle w:val="ListBullet"/>
        <w:spacing w:after="40"/>
      </w:pPr>
      <w:r>
        <w:t>Testimonials — white card, apricot quote mark, italic body, muted attribution.</w:t>
      </w:r>
    </w:p>
    <w:p>
      <w:pPr>
        <w:pStyle w:val="ListBullet"/>
        <w:spacing w:after="40"/>
      </w:pPr>
      <w:r>
        <w:t>Accordion / disclosure — click-to-reveal with a green triangle marker that rotates when open.</w:t>
      </w:r>
    </w:p>
    <w:p>
      <w:pPr>
        <w:pStyle w:val="ListBullet"/>
        <w:spacing w:after="40"/>
      </w:pPr>
      <w:r>
        <w:t>Section bands — BRISK off-white (default), LIDO blue (“Getting started”), DAZE green (final call-to-action).</w:t>
      </w:r>
    </w:p>
    <w:p>
      <w:pPr>
        <w:spacing w:after="40"/>
      </w:pPr>
      <w:r>
        <w:rPr>
          <w:rFonts w:ascii="Arial" w:hAnsi="Arial"/>
          <w:b/>
          <w:color w:val="358F5E"/>
          <w:sz w:val="16"/>
          <w:spacing w:val="30"/>
        </w:rPr>
        <w:t>08 — LAYOUT &amp; SPACING</w:t>
      </w:r>
    </w:p>
    <w:p>
      <w:pPr>
        <w:pStyle w:val="Heading1"/>
        <w:spacing w:before="80"/>
      </w:pPr>
      <w:r>
        <w:rPr>
          <w:rFonts w:ascii="Arial" w:hAnsi="Arial"/>
          <w:b/>
          <w:color w:val="17161B"/>
        </w:rPr>
        <w:t>Layout &amp; spacing</w:t>
      </w:r>
    </w:p>
    <w:p>
      <w:pPr>
        <w:pStyle w:val="ListBullet"/>
        <w:spacing w:after="40"/>
      </w:pPr>
      <w:r>
        <w:t>Content max width — 1140px, centred, 28px side padding.</w:t>
      </w:r>
    </w:p>
    <w:p>
      <w:pPr>
        <w:pStyle w:val="ListBullet"/>
        <w:spacing w:after="40"/>
      </w:pPr>
      <w:r>
        <w:t>Section rhythm — 90px top/bottom (64px on mobile).</w:t>
      </w:r>
    </w:p>
    <w:p>
      <w:pPr>
        <w:pStyle w:val="ListBullet"/>
        <w:spacing w:after="40"/>
      </w:pPr>
      <w:r>
        <w:t>Alternating bands — off-white ↔ white, with colour bands for key moments.</w:t>
      </w:r>
    </w:p>
    <w:p>
      <w:pPr>
        <w:pStyle w:val="ListBullet"/>
        <w:spacing w:after="40"/>
      </w:pPr>
      <w:r>
        <w:t>Corner radius — cards 18px; pills/buttons fully rounded.</w:t>
      </w:r>
    </w:p>
    <w:p>
      <w:pPr>
        <w:pStyle w:val="ListBullet"/>
        <w:spacing w:after="40"/>
      </w:pPr>
      <w:r>
        <w:t>Mobile breakpoint — 1000px, where the nav collapses to a menu button.</w:t>
      </w:r>
    </w:p>
    <w:p>
      <w:pPr>
        <w:pStyle w:val="ListBullet"/>
        <w:spacing w:after="40"/>
      </w:pPr>
      <w:r>
        <w:t>Borders — 1px hairline in “Line” (#E4DED3).</w:t>
      </w:r>
    </w:p>
    <w:p>
      <w:pPr>
        <w:spacing w:after="40"/>
      </w:pPr>
      <w:r>
        <w:rPr>
          <w:rFonts w:ascii="Arial" w:hAnsi="Arial"/>
          <w:b/>
          <w:color w:val="358F5E"/>
          <w:sz w:val="16"/>
          <w:spacing w:val="30"/>
        </w:rPr>
        <w:t>09 — VOICE &amp; TONE</w:t>
      </w:r>
    </w:p>
    <w:p>
      <w:pPr>
        <w:pStyle w:val="Heading1"/>
        <w:spacing w:before="80"/>
      </w:pPr>
      <w:r>
        <w:rPr>
          <w:rFonts w:ascii="Arial" w:hAnsi="Arial"/>
          <w:b/>
          <w:color w:val="17161B"/>
        </w:rPr>
        <w:t>Voice &amp; tone</w:t>
      </w:r>
    </w:p>
    <w:p>
      <w:pPr>
        <w:spacing w:after="200"/>
      </w:pPr>
      <w:r>
        <w:rPr>
          <w:color w:val="56545E"/>
        </w:rPr>
        <w:t>Speak as Anna — first person, warm and direct. Plain, gentle language. Reassure without pressure. British English spelling.</w:t>
      </w:r>
    </w:p>
    <w:p>
      <w:pPr>
        <w:pStyle w:val="IntenseQuote"/>
      </w:pPr>
      <w:r>
        <w:t>Do</w:t>
      </w:r>
    </w:p>
    <w:p>
      <w:pPr>
        <w:pStyle w:val="ListBullet"/>
        <w:spacing w:after="40"/>
      </w:pPr>
      <w:r>
        <w:t>“There’s no rush and no obligation.”</w:t>
      </w:r>
    </w:p>
    <w:p>
      <w:pPr>
        <w:pStyle w:val="ListBullet"/>
        <w:spacing w:after="40"/>
      </w:pPr>
      <w:r>
        <w:t>Short sentences; everyday words.</w:t>
      </w:r>
    </w:p>
    <w:p>
      <w:pPr>
        <w:pStyle w:val="ListBullet"/>
        <w:spacing w:after="40"/>
      </w:pPr>
      <w:r>
        <w:t>Acknowledge how hard reaching out can feel.</w:t>
      </w:r>
    </w:p>
    <w:p>
      <w:pPr>
        <w:pStyle w:val="ListBullet"/>
        <w:spacing w:after="40"/>
      </w:pPr>
      <w:r>
        <w:t>Be specific: Bristol, online, £50, 20-minute call.</w:t>
      </w:r>
    </w:p>
    <w:p>
      <w:pPr>
        <w:pStyle w:val="IntenseQuote"/>
      </w:pPr>
      <w:r>
        <w:t>Don't</w:t>
      </w:r>
    </w:p>
    <w:p>
      <w:pPr>
        <w:pStyle w:val="ListBullet"/>
        <w:spacing w:after="40"/>
      </w:pPr>
      <w:r>
        <w:t>Clinical jargon or diagnostic labels.</w:t>
      </w:r>
    </w:p>
    <w:p>
      <w:pPr>
        <w:pStyle w:val="ListBullet"/>
        <w:spacing w:after="40"/>
      </w:pPr>
      <w:r>
        <w:t>Hype, urgency, or hard-sell language.</w:t>
      </w:r>
    </w:p>
    <w:p>
      <w:pPr>
        <w:pStyle w:val="ListBullet"/>
        <w:spacing w:after="40"/>
      </w:pPr>
      <w:r>
        <w:t>Over-promising “fixes” or guaranteed outcomes.</w:t>
      </w:r>
    </w:p>
    <w:p>
      <w:pPr>
        <w:pStyle w:val="ListBullet"/>
        <w:spacing w:after="40"/>
      </w:pPr>
      <w:r>
        <w:t>Long, dense paragraphs.</w:t>
      </w:r>
    </w:p>
    <w:p/>
    <w:p>
      <w:r>
        <w:rPr>
          <w:i/>
          <w:color w:val="56545E"/>
          <w:sz w:val="17"/>
        </w:rPr>
        <w:t>The Hughes Practice — internal brand &amp; style guide. Update this document whenever the site’s design tokens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1716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