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CD1FD" w14:textId="77777777" w:rsidR="00E41B65" w:rsidRDefault="00000000">
      <w:pPr>
        <w:spacing w:before="2400" w:after="480"/>
        <w:jc w:val="center"/>
      </w:pPr>
      <w:r>
        <w:rPr>
          <w:rFonts w:ascii="Times New Roman" w:hAnsi="Times New Roman"/>
          <w:b/>
          <w:color w:val="000000"/>
          <w:sz w:val="46"/>
        </w:rPr>
        <w:t>ACADEMIC ASSIGNMENT REPORT ON</w:t>
      </w:r>
      <w:r>
        <w:rPr>
          <w:rFonts w:ascii="Times New Roman" w:hAnsi="Times New Roman"/>
          <w:b/>
          <w:color w:val="000000"/>
          <w:sz w:val="46"/>
        </w:rPr>
        <w:br/>
        <w:t>ADULT CENSUS INCOME PREDICTION</w:t>
      </w:r>
    </w:p>
    <w:p w14:paraId="3990D790" w14:textId="77777777" w:rsidR="00E41B65" w:rsidRDefault="00000000">
      <w:pPr>
        <w:spacing w:after="4000"/>
        <w:jc w:val="center"/>
      </w:pPr>
      <w:r>
        <w:rPr>
          <w:rFonts w:ascii="Times New Roman" w:hAnsi="Times New Roman"/>
          <w:i/>
          <w:color w:val="000000"/>
          <w:sz w:val="28"/>
        </w:rPr>
        <w:t>A Comparative Evaluative Analysis of Machine Learning Classification Models</w:t>
      </w:r>
    </w:p>
    <w:p w14:paraId="04AA8483" w14:textId="1D63367A" w:rsidR="00E41B65" w:rsidRDefault="00000000">
      <w:pPr>
        <w:spacing w:after="240"/>
        <w:jc w:val="center"/>
      </w:pPr>
      <w:r>
        <w:rPr>
          <w:rFonts w:ascii="Times New Roman" w:hAnsi="Times New Roman"/>
          <w:b/>
          <w:color w:val="000000"/>
          <w:sz w:val="24"/>
        </w:rPr>
        <w:t>Submitted by:</w:t>
      </w:r>
      <w:r>
        <w:rPr>
          <w:rFonts w:ascii="Times New Roman" w:hAnsi="Times New Roman"/>
          <w:b/>
          <w:color w:val="000000"/>
          <w:sz w:val="24"/>
        </w:rPr>
        <w:br/>
      </w:r>
      <w:r>
        <w:rPr>
          <w:rFonts w:ascii="Times New Roman" w:hAnsi="Times New Roman"/>
          <w:color w:val="000000"/>
          <w:sz w:val="24"/>
        </w:rPr>
        <w:t>Name: Rudhra Sitholey</w:t>
      </w:r>
      <w:r>
        <w:rPr>
          <w:rFonts w:ascii="Times New Roman" w:hAnsi="Times New Roman"/>
          <w:color w:val="000000"/>
          <w:sz w:val="24"/>
        </w:rPr>
        <w:br/>
        <w:t>Register Number: 23BCY10296</w:t>
      </w:r>
      <w:r w:rsidR="00FA26FD">
        <w:rPr>
          <w:rFonts w:ascii="Times New Roman" w:hAnsi="Times New Roman"/>
          <w:color w:val="000000"/>
          <w:sz w:val="24"/>
        </w:rPr>
        <w:t xml:space="preserve"> </w:t>
      </w:r>
      <w:r>
        <w:rPr>
          <w:rFonts w:ascii="Times New Roman" w:hAnsi="Times New Roman"/>
          <w:color w:val="000000"/>
          <w:sz w:val="24"/>
        </w:rPr>
        <w:br/>
        <w:t>Date: June 25, 2026</w:t>
      </w:r>
    </w:p>
    <w:p w14:paraId="1CAA36DC" w14:textId="77777777" w:rsidR="00E41B65" w:rsidRDefault="00000000">
      <w:r>
        <w:br w:type="page"/>
      </w:r>
    </w:p>
    <w:p w14:paraId="49076246" w14:textId="77777777" w:rsidR="00E41B65" w:rsidRDefault="00000000">
      <w:pPr>
        <w:keepNext/>
        <w:spacing w:before="360" w:after="120"/>
      </w:pPr>
      <w:r>
        <w:rPr>
          <w:rFonts w:ascii="Times New Roman" w:hAnsi="Times New Roman"/>
          <w:b/>
          <w:color w:val="000000"/>
          <w:sz w:val="46"/>
        </w:rPr>
        <w:lastRenderedPageBreak/>
        <w:t>1. Abstract</w:t>
      </w:r>
    </w:p>
    <w:p w14:paraId="3B51F4CA" w14:textId="77777777" w:rsidR="00E41B65" w:rsidRDefault="00000000">
      <w:pPr>
        <w:spacing w:after="160"/>
        <w:jc w:val="both"/>
      </w:pPr>
      <w:r>
        <w:rPr>
          <w:rFonts w:ascii="Times New Roman" w:hAnsi="Times New Roman"/>
          <w:color w:val="000000"/>
          <w:sz w:val="24"/>
        </w:rPr>
        <w:t>This assignment report presents an in-depth and rigorous evaluation of various machine learning algorithms applied to the classification task of predicting individual income thresholds using demographic and socioeconomic indicators. Drawing data from the renowned 1994 United States Census Database (commonly known as the 'Adult Census' or 'Census Income' dataset), the primary objective is to classify whether an individual's annual income exceeds $50,000. Accurate socio-economic profiling and income level classification have significant implications for financial services, tax policy formulation, market research, and social welfare distribution. To address this classification task, we implement and contrast five foundational machine learning algorithms: Logistic Regression, Decision Tree Classifier, Random Forest Classifier, K-Nearest Neighbors (KNN), and Support Vector Machine (SVM).</w:t>
      </w:r>
    </w:p>
    <w:p w14:paraId="5228CFA9" w14:textId="77777777" w:rsidR="00E41B65" w:rsidRDefault="00000000">
      <w:pPr>
        <w:spacing w:after="160"/>
        <w:jc w:val="both"/>
      </w:pPr>
      <w:r>
        <w:rPr>
          <w:rFonts w:ascii="Times New Roman" w:hAnsi="Times New Roman"/>
          <w:color w:val="000000"/>
          <w:sz w:val="24"/>
        </w:rPr>
        <w:t>The methodological pipeline consists of comprehensive data cleaning (handling missing values encoded as placeholders, removing duplicate observations, and inspecting outliers), feature engineering (synthesizing new attributes, converting qualitative categorical variables to numeric vectors, and applying standardized scaling), and statistical validation. Each model is trained and evaluated using stratified 80-20 train-test partitioning. The evaluation metrics used to judge model performance include predictive Accuracy, Precision, Recall, F1-Score, and the Receiver Operating Characteristic Area Under the Curve (ROC-AUC). The empirical results reveal that the Random Forest Classifier outpaced other classifiers, achieving the highest classification accuracy of 86.23%, a peak F1-score of 0.6913, and a stellar ROC-AUC of 0.9130. Conversely, the K-Nearest Neighbors classifier lagged, yielding an accuracy of 82.99% and an F1-score of 0.6275. Through detailed feature importance extraction, we demonstrate that relationship status, marital status, education level, capital net gains, and weekly working hours represent the strongest predictors of high-income brackets. This study provides a structured roadmap for developing machine learning pipelines targeting heavily imbalanced demographic datasets.</w:t>
      </w:r>
    </w:p>
    <w:p w14:paraId="02B35DEA" w14:textId="77777777" w:rsidR="00E41B65" w:rsidRDefault="00000000">
      <w:pPr>
        <w:keepNext/>
        <w:spacing w:before="360" w:after="120"/>
      </w:pPr>
      <w:r>
        <w:rPr>
          <w:rFonts w:ascii="Times New Roman" w:hAnsi="Times New Roman"/>
          <w:b/>
          <w:color w:val="000000"/>
          <w:sz w:val="46"/>
        </w:rPr>
        <w:t>2. Introduction</w:t>
      </w:r>
    </w:p>
    <w:p w14:paraId="3626937B" w14:textId="77777777" w:rsidR="00E41B65" w:rsidRDefault="00000000">
      <w:pPr>
        <w:spacing w:after="160"/>
        <w:jc w:val="both"/>
      </w:pPr>
      <w:r>
        <w:rPr>
          <w:rFonts w:ascii="Times New Roman" w:hAnsi="Times New Roman"/>
          <w:color w:val="000000"/>
          <w:sz w:val="24"/>
        </w:rPr>
        <w:t xml:space="preserve">In the contemporary data-driven economy, understanding the relationship between an individual's demographic features and their socioeconomic status is a core research domain. Income classification is a primary challenge that sits at the intersection of economic analysis, sociological research, and computer science. The ability to predict whether a citizen's income exceeds a specific threshold—such as $50,000 per year—enables government institutions to design targeted taxation systems, optimize welfare resource allocation, and identify areas of poverty. Similarly, private entities utilize these models to estimate creditworthiness, refine targeted advertising campaigns, and forecast market demands. While traditional statistical methodologies have long been employed to identify socioeconomic patterns, the rise of machine </w:t>
      </w:r>
      <w:r>
        <w:rPr>
          <w:rFonts w:ascii="Times New Roman" w:hAnsi="Times New Roman"/>
          <w:color w:val="000000"/>
          <w:sz w:val="24"/>
        </w:rPr>
        <w:lastRenderedPageBreak/>
        <w:t>learning offers a more robust, scalable, and automated approach to recognizing complex, non-linear relationships across multi-dimensional feature sets.</w:t>
      </w:r>
    </w:p>
    <w:p w14:paraId="00F49561" w14:textId="77777777" w:rsidR="00E41B65" w:rsidRDefault="00000000">
      <w:pPr>
        <w:spacing w:after="160"/>
        <w:jc w:val="both"/>
      </w:pPr>
      <w:r>
        <w:rPr>
          <w:rFonts w:ascii="Times New Roman" w:hAnsi="Times New Roman"/>
          <w:color w:val="000000"/>
          <w:sz w:val="24"/>
        </w:rPr>
        <w:t>The dataset utilized in this assignment is the 'Adult Census Income' dataset, which was extracted by Barry Becker from the 1994 Census database. It comprises a rich mixture of demographic characteristics such as age, gender, race, relationship status, marital status, and country of origin, alongside professional descriptors including workclass (employment sector), occupation (specific job role), hours worked per week, and education level. In addition to these factors, the dataset includes direct financial features like capital gains and capital losses, which capture investment profits and losses, respectively. Combined, these variables represent a holistic snapshot of an individual's economic profile.</w:t>
      </w:r>
    </w:p>
    <w:p w14:paraId="42135D7D" w14:textId="77777777" w:rsidR="00E41B65" w:rsidRDefault="00000000">
      <w:pPr>
        <w:spacing w:after="160"/>
        <w:jc w:val="both"/>
      </w:pPr>
      <w:r>
        <w:rPr>
          <w:rFonts w:ascii="Times New Roman" w:hAnsi="Times New Roman"/>
          <w:color w:val="000000"/>
          <w:sz w:val="24"/>
        </w:rPr>
        <w:t>However, applying machine learning to demographic datasets poses several classic challenges. First, real-world data is rarely clean or formatted for immediate ingestion by algorithms. Features often contain missing values, human input errors, duplicate records, and high-variance outliers that can skew predictions. Second, the dataset exhibits class imbalance, where approximately 76% of the instances belong to the lower-income bracket (&lt;=50K) and only 24% belong to the higher-income bracket (&gt;50K). If left unaddressed, this imbalance leads classifiers to build a bias towards the majority class, producing misleadingly high accuracy scores while failing to identify high-earning individuals. Third, the mixed nature of the attributes—which include both continuous numerical integers and high-cardinality nominal categoricals—necessitates meticulous encoding and feature scaling to prevent distance-based models from being dominated by variables with larger numeric ranges.</w:t>
      </w:r>
    </w:p>
    <w:p w14:paraId="7BF6678A" w14:textId="77777777" w:rsidR="00E41B65" w:rsidRDefault="00000000">
      <w:pPr>
        <w:spacing w:after="160"/>
        <w:jc w:val="both"/>
      </w:pPr>
      <w:r>
        <w:rPr>
          <w:rFonts w:ascii="Times New Roman" w:hAnsi="Times New Roman"/>
          <w:color w:val="000000"/>
          <w:sz w:val="24"/>
        </w:rPr>
        <w:t>This report outlines a complete machine learning workflow to address these concerns. We define a structured pipeline spanning five primary tasks: Dataset Understanding, Data Cleaning, Feature Engineering, Model Building, and Performance Evaluation. By testing five distinct classifiers (Logistic Regression, Decision Trees, Random Forests, KNN, and SVM), we investigate the trade-offs between model interpretability and predictive power. This comparative analysis serves as a comprehensive study of standard classification techniques in machine learning.</w:t>
      </w:r>
    </w:p>
    <w:p w14:paraId="36EF0A5A" w14:textId="77777777" w:rsidR="00E41B65" w:rsidRDefault="00000000">
      <w:pPr>
        <w:keepNext/>
        <w:spacing w:before="360" w:after="120"/>
      </w:pPr>
      <w:r>
        <w:rPr>
          <w:rFonts w:ascii="Times New Roman" w:hAnsi="Times New Roman"/>
          <w:b/>
          <w:color w:val="000000"/>
          <w:sz w:val="46"/>
        </w:rPr>
        <w:t>3. Dataset Understanding and Attribute Analysis</w:t>
      </w:r>
    </w:p>
    <w:p w14:paraId="0B6CE3DC" w14:textId="77777777" w:rsidR="00E41B65" w:rsidRDefault="00000000">
      <w:pPr>
        <w:spacing w:after="160"/>
        <w:jc w:val="both"/>
      </w:pPr>
      <w:r>
        <w:rPr>
          <w:rFonts w:ascii="Times New Roman" w:hAnsi="Times New Roman"/>
          <w:color w:val="000000"/>
          <w:sz w:val="24"/>
        </w:rPr>
        <w:t>The first step of the machine learning workflow involves developing a thorough understanding of the data. The dataset consists of 32,561 records and 15 original features. Out of these, 6 are numerical attributes, while 9 are categorical attributes, including the target class 'income'. Below is a detailed breakdown of each attribute, its role, and its data type:</w:t>
      </w:r>
    </w:p>
    <w:p w14:paraId="6B6E1522" w14:textId="77777777" w:rsidR="00E41B65" w:rsidRDefault="00000000">
      <w:pPr>
        <w:spacing w:after="160"/>
        <w:jc w:val="both"/>
      </w:pPr>
      <w:r>
        <w:rPr>
          <w:rFonts w:ascii="Times New Roman" w:hAnsi="Times New Roman"/>
          <w:b/>
          <w:color w:val="000000"/>
          <w:sz w:val="24"/>
        </w:rPr>
        <w:lastRenderedPageBreak/>
        <w:t xml:space="preserve">Age: </w:t>
      </w:r>
      <w:r>
        <w:rPr>
          <w:rFonts w:ascii="Times New Roman" w:hAnsi="Times New Roman"/>
          <w:color w:val="000000"/>
          <w:sz w:val="24"/>
        </w:rPr>
        <w:t>1. Age (Continuous): A numerical feature representing the age of the individual. Age is a crucial indicator of income, as career advancement, experience, and wage increases typically accumulate with age, plateauing or declining as individuals approach retirement.</w:t>
      </w:r>
    </w:p>
    <w:p w14:paraId="792DAB9D" w14:textId="77777777" w:rsidR="00E41B65" w:rsidRDefault="00000000">
      <w:pPr>
        <w:spacing w:after="160"/>
        <w:jc w:val="both"/>
      </w:pPr>
      <w:r>
        <w:rPr>
          <w:rFonts w:ascii="Times New Roman" w:hAnsi="Times New Roman"/>
          <w:b/>
          <w:color w:val="000000"/>
          <w:sz w:val="24"/>
        </w:rPr>
        <w:t xml:space="preserve">Workclass: </w:t>
      </w:r>
      <w:r>
        <w:rPr>
          <w:rFonts w:ascii="Times New Roman" w:hAnsi="Times New Roman"/>
          <w:color w:val="000000"/>
          <w:sz w:val="24"/>
        </w:rPr>
        <w:t>2. Workclass (Categorical): Represents the employment sector of the individual. It includes categories such as Private, Self-emp-not-inc, Self-emp-inc, Federal-gov, Local-gov, State-gov, Without-pay, and Never-worked. The sector in which an individual is employed often dictates salary scales and benefits.</w:t>
      </w:r>
    </w:p>
    <w:p w14:paraId="681DA663" w14:textId="77777777" w:rsidR="00E41B65" w:rsidRDefault="00000000">
      <w:pPr>
        <w:spacing w:after="160"/>
        <w:jc w:val="both"/>
      </w:pPr>
      <w:r>
        <w:rPr>
          <w:rFonts w:ascii="Times New Roman" w:hAnsi="Times New Roman"/>
          <w:b/>
          <w:color w:val="000000"/>
          <w:sz w:val="24"/>
        </w:rPr>
        <w:t xml:space="preserve">Final Weight (fnlwgt): </w:t>
      </w:r>
      <w:r>
        <w:rPr>
          <w:rFonts w:ascii="Times New Roman" w:hAnsi="Times New Roman"/>
          <w:color w:val="000000"/>
          <w:sz w:val="24"/>
        </w:rPr>
        <w:t>3. Fnlwgt (Continuous): Represents final weight. This is a demographic control variable calculated by the Census Bureau. It represents the number of people in the target population that the census entry represents based on demographic similarity. While statistically significant for census estimation, it is often considered less predictive for individual income classification and can sometimes introduce noise.</w:t>
      </w:r>
    </w:p>
    <w:p w14:paraId="548503A6" w14:textId="77777777" w:rsidR="00E41B65" w:rsidRDefault="00000000">
      <w:pPr>
        <w:spacing w:after="160"/>
        <w:jc w:val="both"/>
      </w:pPr>
      <w:r>
        <w:rPr>
          <w:rFonts w:ascii="Times New Roman" w:hAnsi="Times New Roman"/>
          <w:b/>
          <w:color w:val="000000"/>
          <w:sz w:val="24"/>
        </w:rPr>
        <w:t xml:space="preserve">Education: </w:t>
      </w:r>
      <w:r>
        <w:rPr>
          <w:rFonts w:ascii="Times New Roman" w:hAnsi="Times New Roman"/>
          <w:color w:val="000000"/>
          <w:sz w:val="24"/>
        </w:rPr>
        <w:t>4. Education (Categorical): Specifies the highest level of education achieved by the individual. Categories range from preschool, primary school levels, secondary school levels, to vocational, associate, bachelors, masters, professional, and doctorate degrees. Higher education is historically one of the strongest determinants of earning potential.</w:t>
      </w:r>
    </w:p>
    <w:p w14:paraId="0DE9CF6C" w14:textId="77777777" w:rsidR="00E41B65" w:rsidRDefault="00000000">
      <w:pPr>
        <w:spacing w:after="160"/>
        <w:jc w:val="both"/>
      </w:pPr>
      <w:r>
        <w:rPr>
          <w:rFonts w:ascii="Times New Roman" w:hAnsi="Times New Roman"/>
          <w:b/>
          <w:color w:val="000000"/>
          <w:sz w:val="24"/>
        </w:rPr>
        <w:t xml:space="preserve">Education Number (education_num): </w:t>
      </w:r>
      <w:r>
        <w:rPr>
          <w:rFonts w:ascii="Times New Roman" w:hAnsi="Times New Roman"/>
          <w:color w:val="000000"/>
          <w:sz w:val="24"/>
        </w:rPr>
        <w:t>5. Education-num (Continuous): A numerical representation of the highest level of education attained. This column is an ordinal mapping of the 'education' feature. It provides an ordered integer scale where higher numbers correspond to advanced academic achievements. Because it contains the same structural information as the 'education' category but in a format readily understandable by numerical algorithms, it is an essential predictive feature.</w:t>
      </w:r>
    </w:p>
    <w:p w14:paraId="5DC72D16" w14:textId="77777777" w:rsidR="00E41B65" w:rsidRDefault="00000000">
      <w:pPr>
        <w:spacing w:after="160"/>
        <w:jc w:val="both"/>
      </w:pPr>
      <w:r>
        <w:rPr>
          <w:rFonts w:ascii="Times New Roman" w:hAnsi="Times New Roman"/>
          <w:b/>
          <w:color w:val="000000"/>
          <w:sz w:val="24"/>
        </w:rPr>
        <w:t xml:space="preserve">Marital Status: </w:t>
      </w:r>
      <w:r>
        <w:rPr>
          <w:rFonts w:ascii="Times New Roman" w:hAnsi="Times New Roman"/>
          <w:color w:val="000000"/>
          <w:sz w:val="24"/>
        </w:rPr>
        <w:t>6. Marital Status (Categorical): Describes the conjugal state of the individual. The classes include Married-civ-spouse, Divorced, Never-married, Separated, Widowed, Married-spouse-absent, and Married-AF-spouse. Marital status has been shown in sociological studies to correlate with income, particularly for married individuals who may exhibit different household income dynamics.</w:t>
      </w:r>
    </w:p>
    <w:p w14:paraId="3D199071" w14:textId="77777777" w:rsidR="00E41B65" w:rsidRDefault="00000000">
      <w:pPr>
        <w:spacing w:after="160"/>
        <w:jc w:val="both"/>
      </w:pPr>
      <w:r>
        <w:rPr>
          <w:rFonts w:ascii="Times New Roman" w:hAnsi="Times New Roman"/>
          <w:b/>
          <w:color w:val="000000"/>
          <w:sz w:val="24"/>
        </w:rPr>
        <w:t xml:space="preserve">Occupation: </w:t>
      </w:r>
      <w:r>
        <w:rPr>
          <w:rFonts w:ascii="Times New Roman" w:hAnsi="Times New Roman"/>
          <w:color w:val="000000"/>
          <w:sz w:val="24"/>
        </w:rPr>
        <w:t>7. Occupation (Categorical): Represents the professional field or job description of the individual. Examples include Tech-support, Craft-repair, Exec-managerial, Prof-specialty, Sales, Exec-managerial, Adm-clerical, Farming-fishing, Machine-op-inspct, and Transport-moving. Certain job categories (like executive and professional specialties) command significantly higher wages than manual labor or administrative positions.</w:t>
      </w:r>
    </w:p>
    <w:p w14:paraId="18C704A9" w14:textId="77777777" w:rsidR="00E41B65" w:rsidRDefault="00000000">
      <w:pPr>
        <w:spacing w:after="160"/>
        <w:jc w:val="both"/>
      </w:pPr>
      <w:r>
        <w:rPr>
          <w:rFonts w:ascii="Times New Roman" w:hAnsi="Times New Roman"/>
          <w:b/>
          <w:color w:val="000000"/>
          <w:sz w:val="24"/>
        </w:rPr>
        <w:t xml:space="preserve">Relationship: </w:t>
      </w:r>
      <w:r>
        <w:rPr>
          <w:rFonts w:ascii="Times New Roman" w:hAnsi="Times New Roman"/>
          <w:color w:val="000000"/>
          <w:sz w:val="24"/>
        </w:rPr>
        <w:t>8. Relationship (Categorical): Describes the individual's role within their household unit. Categories include Wife, Own-child, Husband, Not-in-family, Other-relative, and Unmarried. This feature provides context on household composition and can be highly predictive when combined with marital status.</w:t>
      </w:r>
    </w:p>
    <w:p w14:paraId="260A976B" w14:textId="77777777" w:rsidR="00E41B65" w:rsidRDefault="00000000">
      <w:pPr>
        <w:spacing w:after="160"/>
        <w:jc w:val="both"/>
      </w:pPr>
      <w:r>
        <w:rPr>
          <w:rFonts w:ascii="Times New Roman" w:hAnsi="Times New Roman"/>
          <w:b/>
          <w:color w:val="000000"/>
          <w:sz w:val="24"/>
        </w:rPr>
        <w:lastRenderedPageBreak/>
        <w:t xml:space="preserve">Race: </w:t>
      </w:r>
      <w:r>
        <w:rPr>
          <w:rFonts w:ascii="Times New Roman" w:hAnsi="Times New Roman"/>
          <w:color w:val="000000"/>
          <w:sz w:val="24"/>
        </w:rPr>
        <w:t>9. Race (Categorical): Describes the race of the individual. The classes are White, Asian-Pac-Islander, Amer-Indian-Eskimo, Other, and Black. This attribute is historically included to analyze socio-economic disparities and investigate structural trends in income distribution.</w:t>
      </w:r>
    </w:p>
    <w:p w14:paraId="7F5FBD68" w14:textId="77777777" w:rsidR="00E41B65" w:rsidRDefault="00000000">
      <w:pPr>
        <w:spacing w:after="160"/>
        <w:jc w:val="both"/>
      </w:pPr>
      <w:r>
        <w:rPr>
          <w:rFonts w:ascii="Times New Roman" w:hAnsi="Times New Roman"/>
          <w:b/>
          <w:color w:val="000000"/>
          <w:sz w:val="24"/>
        </w:rPr>
        <w:t xml:space="preserve">Sex: </w:t>
      </w:r>
      <w:r>
        <w:rPr>
          <w:rFonts w:ascii="Times New Roman" w:hAnsi="Times New Roman"/>
          <w:color w:val="000000"/>
          <w:sz w:val="24"/>
        </w:rPr>
        <w:t>10. Sex (Categorical): Denotes the gender of the individual, categorized as Male or Female. This feature is analyzed to evaluate gender-based pay gaps and determine how gender interacts with other features like occupation and hours worked in predicting income.</w:t>
      </w:r>
    </w:p>
    <w:p w14:paraId="16F2414F" w14:textId="77777777" w:rsidR="00E41B65" w:rsidRDefault="00000000">
      <w:pPr>
        <w:spacing w:after="160"/>
        <w:jc w:val="both"/>
      </w:pPr>
      <w:r>
        <w:rPr>
          <w:rFonts w:ascii="Times New Roman" w:hAnsi="Times New Roman"/>
          <w:b/>
          <w:color w:val="000000"/>
          <w:sz w:val="24"/>
        </w:rPr>
        <w:t xml:space="preserve">Capital Gain: </w:t>
      </w:r>
      <w:r>
        <w:rPr>
          <w:rFonts w:ascii="Times New Roman" w:hAnsi="Times New Roman"/>
          <w:color w:val="000000"/>
          <w:sz w:val="24"/>
        </w:rPr>
        <w:t>11. Capital Gain (Continuous): Captures the monetary gain that the individual realized from the sale of financial assets (such as stocks, bonds, or real estate). It is a continuous numerical variable. High capital gains are typically concentrated among wealthy individuals, making it a very strong predictor of high-income levels.</w:t>
      </w:r>
    </w:p>
    <w:p w14:paraId="66C0375C" w14:textId="77777777" w:rsidR="00E41B65" w:rsidRDefault="00000000">
      <w:pPr>
        <w:spacing w:after="160"/>
        <w:jc w:val="both"/>
      </w:pPr>
      <w:r>
        <w:rPr>
          <w:rFonts w:ascii="Times New Roman" w:hAnsi="Times New Roman"/>
          <w:b/>
          <w:color w:val="000000"/>
          <w:sz w:val="24"/>
        </w:rPr>
        <w:t xml:space="preserve">Capital Loss: </w:t>
      </w:r>
      <w:r>
        <w:rPr>
          <w:rFonts w:ascii="Times New Roman" w:hAnsi="Times New Roman"/>
          <w:color w:val="000000"/>
          <w:sz w:val="24"/>
        </w:rPr>
        <w:t>12. Capital Loss (Continuous): Denotes the monetary losses suffered from the sale of assets. Similar to capital gain, capital loss is a direct economic indicator. Individuals with investment portfolios are more likely to report capital losses, which correlates with higher overall asset ownership.</w:t>
      </w:r>
    </w:p>
    <w:p w14:paraId="77189F15" w14:textId="77777777" w:rsidR="00E41B65" w:rsidRDefault="00000000">
      <w:pPr>
        <w:spacing w:after="160"/>
        <w:jc w:val="both"/>
      </w:pPr>
      <w:r>
        <w:rPr>
          <w:rFonts w:ascii="Times New Roman" w:hAnsi="Times New Roman"/>
          <w:b/>
          <w:color w:val="000000"/>
          <w:sz w:val="24"/>
        </w:rPr>
        <w:t xml:space="preserve">Hours per Week: </w:t>
      </w:r>
      <w:r>
        <w:rPr>
          <w:rFonts w:ascii="Times New Roman" w:hAnsi="Times New Roman"/>
          <w:color w:val="000000"/>
          <w:sz w:val="24"/>
        </w:rPr>
        <w:t>13. Hours-per-week (Continuous): Captures the average number of hours the individual works per week. Higher working hours generally correlate with higher income, especially for hourly-wage jobs, though salaried positions also see a correlation between long hours and senior leadership roles.</w:t>
      </w:r>
    </w:p>
    <w:p w14:paraId="069BE098" w14:textId="77777777" w:rsidR="00E41B65" w:rsidRDefault="00000000">
      <w:pPr>
        <w:spacing w:after="160"/>
        <w:jc w:val="both"/>
      </w:pPr>
      <w:r>
        <w:rPr>
          <w:rFonts w:ascii="Times New Roman" w:hAnsi="Times New Roman"/>
          <w:b/>
          <w:color w:val="000000"/>
          <w:sz w:val="24"/>
        </w:rPr>
        <w:t xml:space="preserve">Native Country: </w:t>
      </w:r>
      <w:r>
        <w:rPr>
          <w:rFonts w:ascii="Times New Roman" w:hAnsi="Times New Roman"/>
          <w:color w:val="000000"/>
          <w:sz w:val="24"/>
        </w:rPr>
        <w:t>14. Native Country (Categorical): The country of origin for the individual. It contains dozens of countries, with the United States representing the vast majority of entries. Geographic origin can affect economic opportunities and income dynamics based on immigration status and assimilation factors.</w:t>
      </w:r>
    </w:p>
    <w:p w14:paraId="2503D35A" w14:textId="77777777" w:rsidR="00E41B65" w:rsidRDefault="00000000">
      <w:pPr>
        <w:spacing w:after="160"/>
        <w:jc w:val="both"/>
      </w:pPr>
      <w:r>
        <w:rPr>
          <w:rFonts w:ascii="Times New Roman" w:hAnsi="Times New Roman"/>
          <w:b/>
          <w:color w:val="000000"/>
          <w:sz w:val="24"/>
        </w:rPr>
        <w:t xml:space="preserve">Income (Target): </w:t>
      </w:r>
      <w:r>
        <w:rPr>
          <w:rFonts w:ascii="Times New Roman" w:hAnsi="Times New Roman"/>
          <w:color w:val="000000"/>
          <w:sz w:val="24"/>
        </w:rPr>
        <w:t>15. Income (Categorical / Target): The binary target variable representing the individual's annual income. The two classes are '&lt;=50K' and '&gt;50K'. The distribution of the target variable is imbalanced, with approximately 24,720 (75.92%) of records belonging to '&lt;=50K' and 7,841 (24.08%) belonging to '&gt;50K'. This imbalance plays an important role in how we design our model selection and metric evaluation strategies.</w:t>
      </w:r>
    </w:p>
    <w:p w14:paraId="1ECFFD03" w14:textId="77777777" w:rsidR="00E41B65" w:rsidRDefault="00000000">
      <w:pPr>
        <w:keepNext/>
        <w:spacing w:before="360" w:after="120"/>
      </w:pPr>
      <w:r>
        <w:rPr>
          <w:rFonts w:ascii="Times New Roman" w:hAnsi="Times New Roman"/>
          <w:b/>
          <w:color w:val="000000"/>
          <w:sz w:val="46"/>
        </w:rPr>
        <w:t>4. Data Preprocessing and Cleaning Methodology</w:t>
      </w:r>
    </w:p>
    <w:p w14:paraId="2C2A2359" w14:textId="77777777" w:rsidR="00E41B65" w:rsidRDefault="00000000">
      <w:pPr>
        <w:spacing w:after="160"/>
        <w:jc w:val="both"/>
      </w:pPr>
      <w:r>
        <w:rPr>
          <w:rFonts w:ascii="Times New Roman" w:hAnsi="Times New Roman"/>
          <w:color w:val="000000"/>
          <w:sz w:val="24"/>
        </w:rPr>
        <w:t>Real-world datasets are rarely ready for direct consumption by machine learning algorithms. They often contain noise, missing entries, inconsistencies, and duplicates that can severely degrade the training quality of models. In our pipeline, we perform a systematic cleaning process that involves the following steps: whitespace normalization, missing value imputation, duplicate elimination, and outlier analysis.</w:t>
      </w:r>
    </w:p>
    <w:p w14:paraId="679ADD34" w14:textId="77777777" w:rsidR="00E41B65" w:rsidRDefault="00000000">
      <w:pPr>
        <w:spacing w:after="160"/>
        <w:jc w:val="both"/>
      </w:pPr>
      <w:r>
        <w:rPr>
          <w:rFonts w:ascii="Times New Roman" w:hAnsi="Times New Roman"/>
          <w:color w:val="000000"/>
          <w:sz w:val="24"/>
        </w:rPr>
        <w:lastRenderedPageBreak/>
        <w:t>First, we observe that the string columns in the raw dataset contain leading and trailing whitespaces. These extra spaces (e.g., ' Private' instead of 'Private') can cause string comparison errors and lead to incorrect encoding where the same logical category is treated as multiple distinct classes. We apply a string strip function to all categorical features to remove any extraneous spaces.</w:t>
      </w:r>
    </w:p>
    <w:p w14:paraId="3B2505DB" w14:textId="77777777" w:rsidR="00E41B65" w:rsidRDefault="00000000">
      <w:pPr>
        <w:spacing w:after="160"/>
        <w:jc w:val="both"/>
      </w:pPr>
      <w:r>
        <w:rPr>
          <w:rFonts w:ascii="Times New Roman" w:hAnsi="Times New Roman"/>
          <w:color w:val="000000"/>
          <w:sz w:val="24"/>
        </w:rPr>
        <w:t>Second, we address missing values. In the Adult Census dataset, missing values are not represented as empty fields or standard null tokens; instead, they are encoded with a placeholder question mark character ('?'). We replace all occurrences of '?' with standard NaN values. Upon checking the missing value counts, we find that missing values are confined to three specific categorical columns: 'workclass' (1,836 missing values), 'occupation' (1,843 missing values), and 'native_country' (583 missing values). All other features are complete. Since these missing values occur in nominal attributes, we cannot use numerical imputation techniques like mean or median. Instead, we perform mode imputation, replacing missing entries with the most frequent value in each column. For 'workclass', the mode is 'Private'; for 'occupation', the mode is 'Prof-specialty'; and for 'native_country', the mode is 'United-States'. This categorical imputation maintains the overall distribution of these variables without introducing excessive bias.</w:t>
      </w:r>
    </w:p>
    <w:p w14:paraId="165E86F7" w14:textId="77777777" w:rsidR="00E41B65" w:rsidRDefault="00000000">
      <w:pPr>
        <w:spacing w:after="160"/>
        <w:jc w:val="both"/>
      </w:pPr>
      <w:r>
        <w:rPr>
          <w:rFonts w:ascii="Times New Roman" w:hAnsi="Times New Roman"/>
          <w:color w:val="000000"/>
          <w:sz w:val="24"/>
        </w:rPr>
        <w:t>Third, we check for duplicate records in the dataset. A duplicate record occurs when two or more rows share identical values across all 15 features. Duplicate rows can artificially inflate the importance of certain patterns and cause overfitting, particularly if the duplicate records end up split between the training and testing sets. We identify and drop 24 duplicate records. This reduces our dataset size slightly, yielding a cleaned structure of 32,537 unique records.</w:t>
      </w:r>
    </w:p>
    <w:p w14:paraId="436C747E" w14:textId="77777777" w:rsidR="00E41B65" w:rsidRDefault="00000000">
      <w:pPr>
        <w:spacing w:after="160"/>
        <w:jc w:val="both"/>
      </w:pPr>
      <w:r>
        <w:rPr>
          <w:rFonts w:ascii="Times New Roman" w:hAnsi="Times New Roman"/>
          <w:color w:val="000000"/>
          <w:sz w:val="24"/>
        </w:rPr>
        <w:t>Fourth, we perform an outlier check on the continuous numerical columns using the Interquartile Range (IQR) method. An outlier is defined as any value that falls below Q1 - 1.5 * IQR or above Q3 + 1.5 * IQR, where Q1 is the 25th percentile and Q3 is the 75th percentile. The results of the outlier detection are as follows:</w:t>
      </w:r>
    </w:p>
    <w:p w14:paraId="32BDD98B" w14:textId="77777777" w:rsidR="00E41B65" w:rsidRDefault="00000000">
      <w:pPr>
        <w:spacing w:after="160"/>
        <w:jc w:val="both"/>
      </w:pPr>
      <w:r>
        <w:rPr>
          <w:rFonts w:ascii="Times New Roman" w:hAnsi="Times New Roman"/>
          <w:color w:val="000000"/>
          <w:sz w:val="24"/>
        </w:rPr>
        <w:t>- Age: 143 outliers (individuals of advanced age, typically older than 75 years).</w:t>
      </w:r>
      <w:r>
        <w:rPr>
          <w:rFonts w:ascii="Times New Roman" w:hAnsi="Times New Roman"/>
          <w:color w:val="000000"/>
          <w:sz w:val="24"/>
        </w:rPr>
        <w:br/>
        <w:t>- Final Weight (fnlwgt): 992 outliers (records representing highly specific demographic cohorts with very high weights).</w:t>
      </w:r>
      <w:r>
        <w:rPr>
          <w:rFonts w:ascii="Times New Roman" w:hAnsi="Times New Roman"/>
          <w:color w:val="000000"/>
          <w:sz w:val="24"/>
        </w:rPr>
        <w:br/>
        <w:t>- Education Num: 1,194 outliers (individuals with very low years of education, typically 4 years or fewer).</w:t>
      </w:r>
      <w:r>
        <w:rPr>
          <w:rFonts w:ascii="Times New Roman" w:hAnsi="Times New Roman"/>
          <w:color w:val="000000"/>
          <w:sz w:val="24"/>
        </w:rPr>
        <w:br/>
        <w:t>- Capital Gain: 2,711 outliers (individuals reporting positive capital gains. Since the vast majority of citizens report 0 capital gains, any positive gain is statistically treated as an outlier).</w:t>
      </w:r>
      <w:r>
        <w:rPr>
          <w:rFonts w:ascii="Times New Roman" w:hAnsi="Times New Roman"/>
          <w:color w:val="000000"/>
          <w:sz w:val="24"/>
        </w:rPr>
        <w:br/>
        <w:t>- Capital Loss: 1,519 outliers (individuals reporting investment losses. Similar to capital gains, the baseline is 0, so any loss is flagged as an outlier).</w:t>
      </w:r>
      <w:r>
        <w:rPr>
          <w:rFonts w:ascii="Times New Roman" w:hAnsi="Times New Roman"/>
          <w:color w:val="000000"/>
          <w:sz w:val="24"/>
        </w:rPr>
        <w:br/>
        <w:t>- Hours per Week: 9,004 outliers (individuals working extremely short part-time shifts or long overtime schedules deviating from the standard 40-hour work week).</w:t>
      </w:r>
    </w:p>
    <w:p w14:paraId="384F862F" w14:textId="77777777" w:rsidR="00E41B65" w:rsidRDefault="00000000">
      <w:pPr>
        <w:spacing w:after="160"/>
        <w:jc w:val="both"/>
      </w:pPr>
      <w:r>
        <w:rPr>
          <w:rFonts w:ascii="Times New Roman" w:hAnsi="Times New Roman"/>
          <w:color w:val="000000"/>
          <w:sz w:val="24"/>
        </w:rPr>
        <w:t xml:space="preserve">In demographic datasets, statistical outliers often represent valid real-world variations. For instance, high capital gains or extremely long working hours are real indicators of high-income </w:t>
      </w:r>
      <w:r>
        <w:rPr>
          <w:rFonts w:ascii="Times New Roman" w:hAnsi="Times New Roman"/>
          <w:color w:val="000000"/>
          <w:sz w:val="24"/>
        </w:rPr>
        <w:lastRenderedPageBreak/>
        <w:t>brackets. Removing these data points would discard critical signals that models need to identify the high-income class. Therefore, we do not delete these outlier rows. Instead, we retain them and use standard scaling to reduce their mathematical impact on distance-sensitive algorithms.</w:t>
      </w:r>
    </w:p>
    <w:p w14:paraId="5DDB8700" w14:textId="77777777" w:rsidR="00E41B65" w:rsidRDefault="00000000">
      <w:pPr>
        <w:keepNext/>
        <w:spacing w:before="360" w:after="120"/>
      </w:pPr>
      <w:r>
        <w:rPr>
          <w:rFonts w:ascii="Times New Roman" w:hAnsi="Times New Roman"/>
          <w:b/>
          <w:color w:val="000000"/>
          <w:sz w:val="46"/>
        </w:rPr>
        <w:t>5. Feature Engineering, Encoding, and Scaling</w:t>
      </w:r>
    </w:p>
    <w:p w14:paraId="49D6E13E" w14:textId="77777777" w:rsidR="00E41B65" w:rsidRDefault="00000000">
      <w:pPr>
        <w:spacing w:after="160"/>
        <w:jc w:val="both"/>
      </w:pPr>
      <w:r>
        <w:rPr>
          <w:rFonts w:ascii="Times New Roman" w:hAnsi="Times New Roman"/>
          <w:color w:val="000000"/>
          <w:sz w:val="24"/>
        </w:rPr>
        <w:t>Feature engineering is the process of using domain knowledge to transform raw variables into highly predictive inputs. It is often the most critical phase in building successful machine learning pipelines. For this dataset, we perform target binarization, categorical label encoding, feature synthesis, and numerical standardization.</w:t>
      </w:r>
    </w:p>
    <w:p w14:paraId="538BE3FC" w14:textId="77777777" w:rsidR="00E41B65" w:rsidRDefault="00000000">
      <w:pPr>
        <w:spacing w:after="160"/>
        <w:jc w:val="both"/>
      </w:pPr>
      <w:r>
        <w:rPr>
          <w:rFonts w:ascii="Times New Roman" w:hAnsi="Times New Roman"/>
          <w:color w:val="000000"/>
          <w:sz w:val="24"/>
        </w:rPr>
        <w:t>First, we binarize the target column. The raw target 'income' has two text values: '&lt;=50K' and '&gt;50K'. We map '&lt;=50K' to the integer 0 and '&gt;50K' to the integer 1. This converts our target into a clean binary variable suitable for classification loss functions.</w:t>
      </w:r>
    </w:p>
    <w:p w14:paraId="38B619EE" w14:textId="77777777" w:rsidR="00E41B65" w:rsidRDefault="00000000">
      <w:pPr>
        <w:spacing w:after="160"/>
        <w:jc w:val="both"/>
      </w:pPr>
      <w:r>
        <w:rPr>
          <w:rFonts w:ascii="Times New Roman" w:hAnsi="Times New Roman"/>
          <w:color w:val="000000"/>
          <w:sz w:val="24"/>
        </w:rPr>
        <w:t>Second, we encode the categorical features. Machine learning algorithms operate on numbers, meaning that qualitative variables like 'workclass', 'occupation', and 'native_country' must be translated into a mathematical format. We apply a LabelEncoder to all categorical columns. This assigns a unique integer to each distinct text category. While label encoding is simple and keeps our feature dimension low, we must be careful with distance-based models like KNN and SVM, which might interpret these integers as having an ordinal relationship. To counter this, we apply robust scaling afterwards.</w:t>
      </w:r>
    </w:p>
    <w:p w14:paraId="3D0DA211" w14:textId="77777777" w:rsidR="00E41B65" w:rsidRDefault="00000000">
      <w:pPr>
        <w:spacing w:after="160"/>
        <w:jc w:val="both"/>
      </w:pPr>
      <w:r>
        <w:rPr>
          <w:rFonts w:ascii="Times New Roman" w:hAnsi="Times New Roman"/>
          <w:color w:val="000000"/>
          <w:sz w:val="24"/>
        </w:rPr>
        <w:t>Third, we construct four new engineered features based on domain logic:</w:t>
      </w:r>
      <w:r>
        <w:rPr>
          <w:rFonts w:ascii="Times New Roman" w:hAnsi="Times New Roman"/>
          <w:color w:val="000000"/>
          <w:sz w:val="24"/>
        </w:rPr>
        <w:br/>
        <w:t>1. Capital Net (capital_net): We define capital_net as 'capital_gain' minus 'capital_loss'. This feature aggregates investment gains and losses into a single net profit/loss metric. It represents an individual's overall investment performance and consolidates two high-sparsity features into one highly continuous, informative predictor.</w:t>
      </w:r>
      <w:r>
        <w:rPr>
          <w:rFonts w:ascii="Times New Roman" w:hAnsi="Times New Roman"/>
          <w:color w:val="000000"/>
          <w:sz w:val="24"/>
        </w:rPr>
        <w:br/>
        <w:t>2. Age Group (age_group): Age is binned into five distinct lifecycle intervals: Youth (0-25 years), Young Professional (26-35 years), Mid-Career (36-50 years), Late-Career (51-65 years), and Retired (66-100 years). This discretization helps models capture non-linear relationships, such as how income rises during mid-career and drops off post-retirement.</w:t>
      </w:r>
      <w:r>
        <w:rPr>
          <w:rFonts w:ascii="Times New Roman" w:hAnsi="Times New Roman"/>
          <w:color w:val="000000"/>
          <w:sz w:val="24"/>
        </w:rPr>
        <w:br/>
        <w:t>3. Is Married (is_married): We extract a binary indicator from 'marital_status'. If the status contains the word 'Married' (such as Married-civ-spouse or Married-AF-spouse), it is encoded as 1; otherwise, it is 0. Married households often pool incomes, and married individuals statistically show distinct employment profiles, making this a highly predictive feature.</w:t>
      </w:r>
      <w:r>
        <w:rPr>
          <w:rFonts w:ascii="Times New Roman" w:hAnsi="Times New Roman"/>
          <w:color w:val="000000"/>
          <w:sz w:val="24"/>
        </w:rPr>
        <w:br/>
        <w:t>4. High Education (high_education): We define this as a binary flag indicating whether the individual completed 13 or more years of education (equivalent to a Bachelor's degree or higher). Higher education is a known gateway to executive, managerial, and professional roles that pay over $50,000, and this flag explicitly highlights that threshold.</w:t>
      </w:r>
    </w:p>
    <w:p w14:paraId="4F0F4183" w14:textId="77777777" w:rsidR="00E41B65" w:rsidRDefault="00000000">
      <w:pPr>
        <w:spacing w:after="160"/>
        <w:jc w:val="both"/>
      </w:pPr>
      <w:r>
        <w:rPr>
          <w:rFonts w:ascii="Times New Roman" w:hAnsi="Times New Roman"/>
          <w:color w:val="000000"/>
          <w:sz w:val="24"/>
        </w:rPr>
        <w:lastRenderedPageBreak/>
        <w:t>Fourth, we scale the numeric features. Continuous features like 'fnlwgt', 'capital_gain', and 'hours_per_week' have widely differing scales. An attribute with a range in the hundreds of thousands (like fnlwgt) will mathematically dominate features with smaller ranges (like age or education_num) in distance calculations. We apply StandardScaler, which centers each feature to have a mean of 0 and a standard deviation of 1. This ensures that all inputs contribute equally to models like KNN, SVM, and Logistic Regression.</w:t>
      </w:r>
    </w:p>
    <w:p w14:paraId="1751288B" w14:textId="77777777" w:rsidR="00E41B65" w:rsidRDefault="00000000">
      <w:pPr>
        <w:spacing w:after="160"/>
        <w:jc w:val="both"/>
      </w:pPr>
      <w:r>
        <w:rPr>
          <w:rFonts w:ascii="Times New Roman" w:hAnsi="Times New Roman"/>
          <w:color w:val="000000"/>
          <w:sz w:val="24"/>
        </w:rPr>
        <w:t>Finally, we split the processed dataset. To ensure we can validate our models on unseen data, we partition the dataset into an 80% training set and a 20% testing set. We apply stratified sampling based on the target variable. Stratification guarantees that both the training and testing subsets maintain the exact same ratio of high-income and low-income instances, preserving the representative structure of our imbalanced target class.</w:t>
      </w:r>
    </w:p>
    <w:p w14:paraId="1F8D09D4" w14:textId="77777777" w:rsidR="00E41B65" w:rsidRDefault="00000000">
      <w:pPr>
        <w:keepNext/>
        <w:spacing w:before="360" w:after="120"/>
      </w:pPr>
      <w:r>
        <w:rPr>
          <w:rFonts w:ascii="Times New Roman" w:hAnsi="Times New Roman"/>
          <w:b/>
          <w:color w:val="000000"/>
          <w:sz w:val="46"/>
        </w:rPr>
        <w:t>6. Theoretical Framework of Machine Learning Classifiers</w:t>
      </w:r>
    </w:p>
    <w:p w14:paraId="00BEDFBD" w14:textId="77777777" w:rsidR="00E41B65" w:rsidRDefault="00000000">
      <w:pPr>
        <w:spacing w:after="160"/>
        <w:jc w:val="both"/>
      </w:pPr>
      <w:r>
        <w:rPr>
          <w:rFonts w:ascii="Times New Roman" w:hAnsi="Times New Roman"/>
          <w:color w:val="000000"/>
          <w:sz w:val="24"/>
        </w:rPr>
        <w:t>To identify the optimal approach for predicting income levels, we evaluate five distinct machine learning models. These models span a range of mathematical approaches, from simple linear boundaries to complex ensemble trees and non-linear distance partitions.</w:t>
      </w:r>
    </w:p>
    <w:p w14:paraId="359A0158" w14:textId="77777777" w:rsidR="00E41B65" w:rsidRDefault="00000000">
      <w:pPr>
        <w:spacing w:after="160"/>
        <w:jc w:val="both"/>
      </w:pPr>
      <w:r>
        <w:rPr>
          <w:rFonts w:ascii="Times New Roman" w:hAnsi="Times New Roman"/>
          <w:b/>
          <w:color w:val="000000"/>
          <w:sz w:val="24"/>
        </w:rPr>
        <w:t xml:space="preserve">Logistic Regression: </w:t>
      </w:r>
      <w:r>
        <w:rPr>
          <w:rFonts w:ascii="Times New Roman" w:hAnsi="Times New Roman"/>
          <w:color w:val="000000"/>
          <w:sz w:val="24"/>
        </w:rPr>
        <w:t>Logistic Regression is a foundational linear model used for binary classification. Unlike linear regression, which predicts continuous values, Logistic Regression uses the sigmoid function to map its output to a probability between 0 and 1. The model assumes a linear relationship between the log-odds of the target class and the input features. It is highly interpretable, as its coefficients directly reveal the direction and magnitude of each feature's influence. However, it can struggle when data exhibits complex, non-linear relationships or high-order interactions unless those interactions are explicitly engineered beforehand.</w:t>
      </w:r>
    </w:p>
    <w:p w14:paraId="703262D6" w14:textId="77777777" w:rsidR="00E41B65" w:rsidRDefault="00000000">
      <w:pPr>
        <w:spacing w:after="160"/>
        <w:jc w:val="both"/>
      </w:pPr>
      <w:r>
        <w:rPr>
          <w:rFonts w:ascii="Times New Roman" w:hAnsi="Times New Roman"/>
          <w:b/>
          <w:color w:val="000000"/>
          <w:sz w:val="24"/>
        </w:rPr>
        <w:t xml:space="preserve">Decision Tree Classifier: </w:t>
      </w:r>
      <w:r>
        <w:rPr>
          <w:rFonts w:ascii="Times New Roman" w:hAnsi="Times New Roman"/>
          <w:color w:val="000000"/>
          <w:sz w:val="24"/>
        </w:rPr>
        <w:t>Decision Tree Classifier builds a tree-like structure by recursively partitioning the dataset based on the most informative features. At each node, the algorithm splits the data to maximize class purity, measured using metrics like Gini impurity or Shannon entropy. Decision Trees are non-parametric, meaning they make no assumptions about the underlying distribution of the data. They easily handle mixed data types and capture non-linear relationships. However, deep decision trees are prone to overfitting, as they can create highly complex rules that fit noise in the training set rather than generalizing to unseen data. To manage this, we constrain our Decision Tree to a maximum depth of 10.</w:t>
      </w:r>
    </w:p>
    <w:p w14:paraId="58069730" w14:textId="77777777" w:rsidR="00E41B65" w:rsidRDefault="00000000">
      <w:pPr>
        <w:spacing w:after="160"/>
        <w:jc w:val="both"/>
      </w:pPr>
      <w:r>
        <w:rPr>
          <w:rFonts w:ascii="Times New Roman" w:hAnsi="Times New Roman"/>
          <w:b/>
          <w:color w:val="000000"/>
          <w:sz w:val="24"/>
        </w:rPr>
        <w:t xml:space="preserve">Random Forest Classifier: </w:t>
      </w:r>
      <w:r>
        <w:rPr>
          <w:rFonts w:ascii="Times New Roman" w:hAnsi="Times New Roman"/>
          <w:color w:val="000000"/>
          <w:sz w:val="24"/>
        </w:rPr>
        <w:t xml:space="preserve">Random Forest Classifier is an ensemble learning method that addresses the overfitting tendencies of individual decision trees. It constructs a 'forest' of multiple independent decision trees, each trained on a random bootstrap sample of the data (bagging). Additionally, at each split in a tree, the algorithm considers only a random subset of </w:t>
      </w:r>
      <w:r>
        <w:rPr>
          <w:rFonts w:ascii="Times New Roman" w:hAnsi="Times New Roman"/>
          <w:color w:val="000000"/>
          <w:sz w:val="24"/>
        </w:rPr>
        <w:lastRenderedPageBreak/>
        <w:t>features. This dual randomness decorrelates the individual trees. For final predictions, the forest aggregates the classifications of all its trees through majority voting. Random Forests are robust to outliers, handle high-dimensional feature spaces, and naturally compute feature importance, though they are computationally intensive and function as a 'black box' compared to single trees.</w:t>
      </w:r>
    </w:p>
    <w:p w14:paraId="0FE2F890" w14:textId="77777777" w:rsidR="00E41B65" w:rsidRDefault="00000000">
      <w:pPr>
        <w:spacing w:after="160"/>
        <w:jc w:val="both"/>
      </w:pPr>
      <w:r>
        <w:rPr>
          <w:rFonts w:ascii="Times New Roman" w:hAnsi="Times New Roman"/>
          <w:b/>
          <w:color w:val="000000"/>
          <w:sz w:val="24"/>
        </w:rPr>
        <w:t xml:space="preserve">K-Nearest Neighbors (KNN): </w:t>
      </w:r>
      <w:r>
        <w:rPr>
          <w:rFonts w:ascii="Times New Roman" w:hAnsi="Times New Roman"/>
          <w:color w:val="000000"/>
          <w:sz w:val="24"/>
        </w:rPr>
        <w:t>K-Nearest Neighbors (KNN) is an intuitive instance-based, lazy learning algorithm. It does not construct an explicit model during training; instead, it stores all training instances. When classifying a new data point, KNN calculates its distance (typically Euclidean distance) to all stored training examples, identifies the 'K' closest neighbors, and assigns the majority class among those neighbors. While simple and adaptive to local patterns, KNN is computationally expensive during testing, sensitive to irrelevant or unscaled features, and struggles with high-dimensional datasets where distances tend to collapse (the curse of dimensionality). We configure the model with K = 5.</w:t>
      </w:r>
    </w:p>
    <w:p w14:paraId="116663EA" w14:textId="77777777" w:rsidR="00E41B65" w:rsidRDefault="00000000">
      <w:pPr>
        <w:spacing w:after="160"/>
        <w:jc w:val="both"/>
      </w:pPr>
      <w:r>
        <w:rPr>
          <w:rFonts w:ascii="Times New Roman" w:hAnsi="Times New Roman"/>
          <w:b/>
          <w:color w:val="000000"/>
          <w:sz w:val="24"/>
        </w:rPr>
        <w:t xml:space="preserve">Support Vector Machine (SVM): </w:t>
      </w:r>
      <w:r>
        <w:rPr>
          <w:rFonts w:ascii="Times New Roman" w:hAnsi="Times New Roman"/>
          <w:color w:val="000000"/>
          <w:sz w:val="24"/>
        </w:rPr>
        <w:t>Support Vector Machines (SVM) classify data by finding the optimal hyperplane that maximizes the margin between two classes. The margin is defined as the distance between the hyperplane and the closest data points from either class, known as support vectors. For non-linearly separable datasets, SVM employs the 'kernel trick' to map the input features into a higher-dimensional space where a linear boundary can be drawn. We use the Radial Basis Function (RBF) kernel, which can capture highly complex, non-linear decision boundaries. SVM is highly effective in high-dimensional spaces but is computationally expensive and slow to train on large datasets, and its parameters can be difficult to tune.</w:t>
      </w:r>
    </w:p>
    <w:p w14:paraId="2013B2F2" w14:textId="77777777" w:rsidR="00E41B65" w:rsidRDefault="00000000">
      <w:pPr>
        <w:keepNext/>
        <w:spacing w:before="360" w:after="120"/>
      </w:pPr>
      <w:r>
        <w:rPr>
          <w:rFonts w:ascii="Times New Roman" w:hAnsi="Times New Roman"/>
          <w:b/>
          <w:color w:val="000000"/>
          <w:sz w:val="46"/>
        </w:rPr>
        <w:t>7. Model Performance Evaluation and Metric Comparison</w:t>
      </w:r>
    </w:p>
    <w:p w14:paraId="2EC4A477" w14:textId="77777777" w:rsidR="00E41B65" w:rsidRDefault="00000000">
      <w:pPr>
        <w:spacing w:after="160"/>
        <w:jc w:val="both"/>
      </w:pPr>
      <w:r>
        <w:rPr>
          <w:rFonts w:ascii="Times New Roman" w:hAnsi="Times New Roman"/>
          <w:color w:val="000000"/>
          <w:sz w:val="24"/>
        </w:rPr>
        <w:t>To objectively compare the models, we evaluate them on the test set using five core metrics. Accuracy measures the percentage of correct predictions out of all samples. Precision measures the proportion of predicted high earners (&gt;50K) who actually earn that amount, minimizing false positives. Recall measures the proportion of actual high earners that the model correctly identified, minimizing false negatives. The F1-Score is the harmonic mean of Precision and Recall, providing a single metric that balances both. Finally, ROC-AUC measures the model's ability to distinguish between classes across all possible decision thresholds.</w:t>
      </w:r>
    </w:p>
    <w:tbl>
      <w:tblPr>
        <w:tblW w:w="0" w:type="auto"/>
        <w:jc w:val="center"/>
        <w:tblBorders>
          <w:top w:val="single" w:sz="4" w:space="0" w:color="000000"/>
          <w:bottom w:val="single" w:sz="4" w:space="0" w:color="000000"/>
          <w:insideH w:val="single" w:sz="4" w:space="0" w:color="000000"/>
        </w:tblBorders>
        <w:tblLook w:val="04A0" w:firstRow="1" w:lastRow="0" w:firstColumn="1" w:lastColumn="0" w:noHBand="0" w:noVBand="1"/>
      </w:tblPr>
      <w:tblGrid>
        <w:gridCol w:w="1560"/>
        <w:gridCol w:w="1560"/>
        <w:gridCol w:w="1560"/>
        <w:gridCol w:w="1560"/>
        <w:gridCol w:w="1560"/>
        <w:gridCol w:w="1560"/>
      </w:tblGrid>
      <w:tr w:rsidR="00E41B65" w14:paraId="1961F875" w14:textId="77777777">
        <w:trPr>
          <w:jc w:val="center"/>
        </w:trPr>
        <w:tc>
          <w:tcPr>
            <w:tcW w:w="1560" w:type="dxa"/>
            <w:tcMar>
              <w:top w:w="100" w:type="dxa"/>
              <w:left w:w="150" w:type="dxa"/>
              <w:bottom w:w="100" w:type="dxa"/>
              <w:right w:w="150" w:type="dxa"/>
            </w:tcMar>
          </w:tcPr>
          <w:p w14:paraId="48E625B3" w14:textId="77777777" w:rsidR="00E41B65" w:rsidRDefault="00000000">
            <w:pPr>
              <w:jc w:val="center"/>
            </w:pPr>
            <w:r>
              <w:rPr>
                <w:rFonts w:ascii="Times New Roman" w:hAnsi="Times New Roman"/>
                <w:b/>
                <w:color w:val="000000"/>
                <w:sz w:val="24"/>
              </w:rPr>
              <w:t>Algorithm</w:t>
            </w:r>
          </w:p>
        </w:tc>
        <w:tc>
          <w:tcPr>
            <w:tcW w:w="1560" w:type="dxa"/>
            <w:tcMar>
              <w:top w:w="100" w:type="dxa"/>
              <w:left w:w="150" w:type="dxa"/>
              <w:bottom w:w="100" w:type="dxa"/>
              <w:right w:w="150" w:type="dxa"/>
            </w:tcMar>
          </w:tcPr>
          <w:p w14:paraId="40410DE8" w14:textId="77777777" w:rsidR="00E41B65" w:rsidRDefault="00000000">
            <w:pPr>
              <w:jc w:val="center"/>
            </w:pPr>
            <w:r>
              <w:rPr>
                <w:rFonts w:ascii="Times New Roman" w:hAnsi="Times New Roman"/>
                <w:b/>
                <w:color w:val="000000"/>
                <w:sz w:val="24"/>
              </w:rPr>
              <w:t>Accuracy</w:t>
            </w:r>
          </w:p>
        </w:tc>
        <w:tc>
          <w:tcPr>
            <w:tcW w:w="1560" w:type="dxa"/>
            <w:tcMar>
              <w:top w:w="100" w:type="dxa"/>
              <w:left w:w="150" w:type="dxa"/>
              <w:bottom w:w="100" w:type="dxa"/>
              <w:right w:w="150" w:type="dxa"/>
            </w:tcMar>
          </w:tcPr>
          <w:p w14:paraId="1ABF5ADF" w14:textId="77777777" w:rsidR="00E41B65" w:rsidRDefault="00000000">
            <w:pPr>
              <w:jc w:val="center"/>
            </w:pPr>
            <w:r>
              <w:rPr>
                <w:rFonts w:ascii="Times New Roman" w:hAnsi="Times New Roman"/>
                <w:b/>
                <w:color w:val="000000"/>
                <w:sz w:val="24"/>
              </w:rPr>
              <w:t>Precision</w:t>
            </w:r>
          </w:p>
        </w:tc>
        <w:tc>
          <w:tcPr>
            <w:tcW w:w="1560" w:type="dxa"/>
            <w:tcMar>
              <w:top w:w="100" w:type="dxa"/>
              <w:left w:w="150" w:type="dxa"/>
              <w:bottom w:w="100" w:type="dxa"/>
              <w:right w:w="150" w:type="dxa"/>
            </w:tcMar>
          </w:tcPr>
          <w:p w14:paraId="3A0DCB78" w14:textId="77777777" w:rsidR="00E41B65" w:rsidRDefault="00000000">
            <w:pPr>
              <w:jc w:val="center"/>
            </w:pPr>
            <w:r>
              <w:rPr>
                <w:rFonts w:ascii="Times New Roman" w:hAnsi="Times New Roman"/>
                <w:b/>
                <w:color w:val="000000"/>
                <w:sz w:val="24"/>
              </w:rPr>
              <w:t>Recall</w:t>
            </w:r>
          </w:p>
        </w:tc>
        <w:tc>
          <w:tcPr>
            <w:tcW w:w="1560" w:type="dxa"/>
            <w:tcMar>
              <w:top w:w="100" w:type="dxa"/>
              <w:left w:w="150" w:type="dxa"/>
              <w:bottom w:w="100" w:type="dxa"/>
              <w:right w:w="150" w:type="dxa"/>
            </w:tcMar>
          </w:tcPr>
          <w:p w14:paraId="3E4385BF" w14:textId="77777777" w:rsidR="00E41B65" w:rsidRDefault="00000000">
            <w:pPr>
              <w:jc w:val="center"/>
            </w:pPr>
            <w:r>
              <w:rPr>
                <w:rFonts w:ascii="Times New Roman" w:hAnsi="Times New Roman"/>
                <w:b/>
                <w:color w:val="000000"/>
                <w:sz w:val="24"/>
              </w:rPr>
              <w:t>F1 Score</w:t>
            </w:r>
          </w:p>
        </w:tc>
        <w:tc>
          <w:tcPr>
            <w:tcW w:w="1560" w:type="dxa"/>
            <w:tcMar>
              <w:top w:w="100" w:type="dxa"/>
              <w:left w:w="150" w:type="dxa"/>
              <w:bottom w:w="100" w:type="dxa"/>
              <w:right w:w="150" w:type="dxa"/>
            </w:tcMar>
          </w:tcPr>
          <w:p w14:paraId="3F6ED158" w14:textId="77777777" w:rsidR="00E41B65" w:rsidRDefault="00000000">
            <w:pPr>
              <w:jc w:val="center"/>
            </w:pPr>
            <w:r>
              <w:rPr>
                <w:rFonts w:ascii="Times New Roman" w:hAnsi="Times New Roman"/>
                <w:b/>
                <w:color w:val="000000"/>
                <w:sz w:val="24"/>
              </w:rPr>
              <w:t>ROC-AUC</w:t>
            </w:r>
          </w:p>
        </w:tc>
      </w:tr>
      <w:tr w:rsidR="00E41B65" w14:paraId="2BFC29B2" w14:textId="77777777">
        <w:trPr>
          <w:jc w:val="center"/>
        </w:trPr>
        <w:tc>
          <w:tcPr>
            <w:tcW w:w="1560" w:type="dxa"/>
            <w:tcMar>
              <w:top w:w="100" w:type="dxa"/>
              <w:left w:w="150" w:type="dxa"/>
              <w:bottom w:w="100" w:type="dxa"/>
              <w:right w:w="150" w:type="dxa"/>
            </w:tcMar>
          </w:tcPr>
          <w:p w14:paraId="5E857206" w14:textId="77777777" w:rsidR="00E41B65" w:rsidRDefault="00000000">
            <w:r>
              <w:rPr>
                <w:rFonts w:ascii="Times New Roman" w:hAnsi="Times New Roman"/>
                <w:color w:val="000000"/>
                <w:sz w:val="24"/>
              </w:rPr>
              <w:t>Logistic Regression</w:t>
            </w:r>
          </w:p>
        </w:tc>
        <w:tc>
          <w:tcPr>
            <w:tcW w:w="1560" w:type="dxa"/>
            <w:tcMar>
              <w:top w:w="100" w:type="dxa"/>
              <w:left w:w="150" w:type="dxa"/>
              <w:bottom w:w="100" w:type="dxa"/>
              <w:right w:w="150" w:type="dxa"/>
            </w:tcMar>
          </w:tcPr>
          <w:p w14:paraId="407441FF" w14:textId="77777777" w:rsidR="00E41B65" w:rsidRDefault="00000000">
            <w:pPr>
              <w:jc w:val="center"/>
            </w:pPr>
            <w:r>
              <w:rPr>
                <w:rFonts w:ascii="Times New Roman" w:hAnsi="Times New Roman"/>
                <w:color w:val="000000"/>
                <w:sz w:val="24"/>
              </w:rPr>
              <w:t>0.8457</w:t>
            </w:r>
          </w:p>
        </w:tc>
        <w:tc>
          <w:tcPr>
            <w:tcW w:w="1560" w:type="dxa"/>
            <w:tcMar>
              <w:top w:w="100" w:type="dxa"/>
              <w:left w:w="150" w:type="dxa"/>
              <w:bottom w:w="100" w:type="dxa"/>
              <w:right w:w="150" w:type="dxa"/>
            </w:tcMar>
          </w:tcPr>
          <w:p w14:paraId="4714AA1B" w14:textId="77777777" w:rsidR="00E41B65" w:rsidRDefault="00000000">
            <w:pPr>
              <w:jc w:val="center"/>
            </w:pPr>
            <w:r>
              <w:rPr>
                <w:rFonts w:ascii="Times New Roman" w:hAnsi="Times New Roman"/>
                <w:color w:val="000000"/>
                <w:sz w:val="24"/>
              </w:rPr>
              <w:t>0.7298</w:t>
            </w:r>
          </w:p>
        </w:tc>
        <w:tc>
          <w:tcPr>
            <w:tcW w:w="1560" w:type="dxa"/>
            <w:tcMar>
              <w:top w:w="100" w:type="dxa"/>
              <w:left w:w="150" w:type="dxa"/>
              <w:bottom w:w="100" w:type="dxa"/>
              <w:right w:w="150" w:type="dxa"/>
            </w:tcMar>
          </w:tcPr>
          <w:p w14:paraId="7ECE98CF" w14:textId="77777777" w:rsidR="00E41B65" w:rsidRDefault="00000000">
            <w:pPr>
              <w:jc w:val="center"/>
            </w:pPr>
            <w:r>
              <w:rPr>
                <w:rFonts w:ascii="Times New Roman" w:hAnsi="Times New Roman"/>
                <w:color w:val="000000"/>
                <w:sz w:val="24"/>
              </w:rPr>
              <w:t>0.5642</w:t>
            </w:r>
          </w:p>
        </w:tc>
        <w:tc>
          <w:tcPr>
            <w:tcW w:w="1560" w:type="dxa"/>
            <w:tcMar>
              <w:top w:w="100" w:type="dxa"/>
              <w:left w:w="150" w:type="dxa"/>
              <w:bottom w:w="100" w:type="dxa"/>
              <w:right w:w="150" w:type="dxa"/>
            </w:tcMar>
          </w:tcPr>
          <w:p w14:paraId="56C93695" w14:textId="77777777" w:rsidR="00E41B65" w:rsidRDefault="00000000">
            <w:pPr>
              <w:jc w:val="center"/>
            </w:pPr>
            <w:r>
              <w:rPr>
                <w:rFonts w:ascii="Times New Roman" w:hAnsi="Times New Roman"/>
                <w:color w:val="000000"/>
                <w:sz w:val="24"/>
              </w:rPr>
              <w:t>0.6364</w:t>
            </w:r>
          </w:p>
        </w:tc>
        <w:tc>
          <w:tcPr>
            <w:tcW w:w="1560" w:type="dxa"/>
            <w:tcMar>
              <w:top w:w="100" w:type="dxa"/>
              <w:left w:w="150" w:type="dxa"/>
              <w:bottom w:w="100" w:type="dxa"/>
              <w:right w:w="150" w:type="dxa"/>
            </w:tcMar>
          </w:tcPr>
          <w:p w14:paraId="003FD5DD" w14:textId="77777777" w:rsidR="00E41B65" w:rsidRDefault="00000000">
            <w:pPr>
              <w:jc w:val="center"/>
            </w:pPr>
            <w:r>
              <w:rPr>
                <w:rFonts w:ascii="Times New Roman" w:hAnsi="Times New Roman"/>
                <w:color w:val="000000"/>
                <w:sz w:val="24"/>
              </w:rPr>
              <w:t>0.8996</w:t>
            </w:r>
          </w:p>
        </w:tc>
      </w:tr>
      <w:tr w:rsidR="00E41B65" w14:paraId="3813F6BE" w14:textId="77777777">
        <w:trPr>
          <w:jc w:val="center"/>
        </w:trPr>
        <w:tc>
          <w:tcPr>
            <w:tcW w:w="1560" w:type="dxa"/>
            <w:tcMar>
              <w:top w:w="100" w:type="dxa"/>
              <w:left w:w="150" w:type="dxa"/>
              <w:bottom w:w="100" w:type="dxa"/>
              <w:right w:w="150" w:type="dxa"/>
            </w:tcMar>
          </w:tcPr>
          <w:p w14:paraId="03D8642A" w14:textId="77777777" w:rsidR="00E41B65" w:rsidRDefault="00000000">
            <w:r>
              <w:rPr>
                <w:rFonts w:ascii="Times New Roman" w:hAnsi="Times New Roman"/>
                <w:color w:val="000000"/>
                <w:sz w:val="24"/>
              </w:rPr>
              <w:lastRenderedPageBreak/>
              <w:t>Decision Tree</w:t>
            </w:r>
          </w:p>
        </w:tc>
        <w:tc>
          <w:tcPr>
            <w:tcW w:w="1560" w:type="dxa"/>
            <w:tcMar>
              <w:top w:w="100" w:type="dxa"/>
              <w:left w:w="150" w:type="dxa"/>
              <w:bottom w:w="100" w:type="dxa"/>
              <w:right w:w="150" w:type="dxa"/>
            </w:tcMar>
          </w:tcPr>
          <w:p w14:paraId="1F876099" w14:textId="77777777" w:rsidR="00E41B65" w:rsidRDefault="00000000">
            <w:pPr>
              <w:jc w:val="center"/>
            </w:pPr>
            <w:r>
              <w:rPr>
                <w:rFonts w:ascii="Times New Roman" w:hAnsi="Times New Roman"/>
                <w:color w:val="000000"/>
                <w:sz w:val="24"/>
              </w:rPr>
              <w:t>0.8592</w:t>
            </w:r>
          </w:p>
        </w:tc>
        <w:tc>
          <w:tcPr>
            <w:tcW w:w="1560" w:type="dxa"/>
            <w:tcMar>
              <w:top w:w="100" w:type="dxa"/>
              <w:left w:w="150" w:type="dxa"/>
              <w:bottom w:w="100" w:type="dxa"/>
              <w:right w:w="150" w:type="dxa"/>
            </w:tcMar>
          </w:tcPr>
          <w:p w14:paraId="2791900C" w14:textId="77777777" w:rsidR="00E41B65" w:rsidRDefault="00000000">
            <w:pPr>
              <w:jc w:val="center"/>
            </w:pPr>
            <w:r>
              <w:rPr>
                <w:rFonts w:ascii="Times New Roman" w:hAnsi="Times New Roman"/>
                <w:color w:val="000000"/>
                <w:sz w:val="24"/>
              </w:rPr>
              <w:t>0.7733</w:t>
            </w:r>
          </w:p>
        </w:tc>
        <w:tc>
          <w:tcPr>
            <w:tcW w:w="1560" w:type="dxa"/>
            <w:tcMar>
              <w:top w:w="100" w:type="dxa"/>
              <w:left w:w="150" w:type="dxa"/>
              <w:bottom w:w="100" w:type="dxa"/>
              <w:right w:w="150" w:type="dxa"/>
            </w:tcMar>
          </w:tcPr>
          <w:p w14:paraId="164FD442" w14:textId="77777777" w:rsidR="00E41B65" w:rsidRDefault="00000000">
            <w:pPr>
              <w:jc w:val="center"/>
            </w:pPr>
            <w:r>
              <w:rPr>
                <w:rFonts w:ascii="Times New Roman" w:hAnsi="Times New Roman"/>
                <w:color w:val="000000"/>
                <w:sz w:val="24"/>
              </w:rPr>
              <w:t>0.5826</w:t>
            </w:r>
          </w:p>
        </w:tc>
        <w:tc>
          <w:tcPr>
            <w:tcW w:w="1560" w:type="dxa"/>
            <w:tcMar>
              <w:top w:w="100" w:type="dxa"/>
              <w:left w:w="150" w:type="dxa"/>
              <w:bottom w:w="100" w:type="dxa"/>
              <w:right w:w="150" w:type="dxa"/>
            </w:tcMar>
          </w:tcPr>
          <w:p w14:paraId="0F8EAEC9" w14:textId="77777777" w:rsidR="00E41B65" w:rsidRDefault="00000000">
            <w:pPr>
              <w:jc w:val="center"/>
            </w:pPr>
            <w:r>
              <w:rPr>
                <w:rFonts w:ascii="Times New Roman" w:hAnsi="Times New Roman"/>
                <w:color w:val="000000"/>
                <w:sz w:val="24"/>
              </w:rPr>
              <w:t>0.6646</w:t>
            </w:r>
          </w:p>
        </w:tc>
        <w:tc>
          <w:tcPr>
            <w:tcW w:w="1560" w:type="dxa"/>
            <w:tcMar>
              <w:top w:w="100" w:type="dxa"/>
              <w:left w:w="150" w:type="dxa"/>
              <w:bottom w:w="100" w:type="dxa"/>
              <w:right w:w="150" w:type="dxa"/>
            </w:tcMar>
          </w:tcPr>
          <w:p w14:paraId="6FD42172" w14:textId="77777777" w:rsidR="00E41B65" w:rsidRDefault="00000000">
            <w:pPr>
              <w:jc w:val="center"/>
            </w:pPr>
            <w:r>
              <w:rPr>
                <w:rFonts w:ascii="Times New Roman" w:hAnsi="Times New Roman"/>
                <w:color w:val="000000"/>
                <w:sz w:val="24"/>
              </w:rPr>
              <w:t>0.8966</w:t>
            </w:r>
          </w:p>
        </w:tc>
      </w:tr>
      <w:tr w:rsidR="00E41B65" w14:paraId="3CE7BA6E" w14:textId="77777777">
        <w:trPr>
          <w:jc w:val="center"/>
        </w:trPr>
        <w:tc>
          <w:tcPr>
            <w:tcW w:w="1560" w:type="dxa"/>
            <w:tcMar>
              <w:top w:w="100" w:type="dxa"/>
              <w:left w:w="150" w:type="dxa"/>
              <w:bottom w:w="100" w:type="dxa"/>
              <w:right w:w="150" w:type="dxa"/>
            </w:tcMar>
          </w:tcPr>
          <w:p w14:paraId="70EDB940" w14:textId="77777777" w:rsidR="00E41B65" w:rsidRDefault="00000000">
            <w:r>
              <w:rPr>
                <w:rFonts w:ascii="Times New Roman" w:hAnsi="Times New Roman"/>
                <w:color w:val="000000"/>
                <w:sz w:val="24"/>
              </w:rPr>
              <w:t>Random Forest</w:t>
            </w:r>
          </w:p>
        </w:tc>
        <w:tc>
          <w:tcPr>
            <w:tcW w:w="1560" w:type="dxa"/>
            <w:tcMar>
              <w:top w:w="100" w:type="dxa"/>
              <w:left w:w="150" w:type="dxa"/>
              <w:bottom w:w="100" w:type="dxa"/>
              <w:right w:w="150" w:type="dxa"/>
            </w:tcMar>
          </w:tcPr>
          <w:p w14:paraId="6AE8D178" w14:textId="77777777" w:rsidR="00E41B65" w:rsidRDefault="00000000">
            <w:pPr>
              <w:jc w:val="center"/>
            </w:pPr>
            <w:r>
              <w:rPr>
                <w:rFonts w:ascii="Times New Roman" w:hAnsi="Times New Roman"/>
                <w:color w:val="000000"/>
                <w:sz w:val="24"/>
              </w:rPr>
              <w:t>0.8623</w:t>
            </w:r>
          </w:p>
        </w:tc>
        <w:tc>
          <w:tcPr>
            <w:tcW w:w="1560" w:type="dxa"/>
            <w:tcMar>
              <w:top w:w="100" w:type="dxa"/>
              <w:left w:w="150" w:type="dxa"/>
              <w:bottom w:w="100" w:type="dxa"/>
              <w:right w:w="150" w:type="dxa"/>
            </w:tcMar>
          </w:tcPr>
          <w:p w14:paraId="00B8E74D" w14:textId="77777777" w:rsidR="00E41B65" w:rsidRDefault="00000000">
            <w:pPr>
              <w:jc w:val="center"/>
            </w:pPr>
            <w:r>
              <w:rPr>
                <w:rFonts w:ascii="Times New Roman" w:hAnsi="Times New Roman"/>
                <w:color w:val="000000"/>
                <w:sz w:val="24"/>
              </w:rPr>
              <w:t>0.7458</w:t>
            </w:r>
          </w:p>
        </w:tc>
        <w:tc>
          <w:tcPr>
            <w:tcW w:w="1560" w:type="dxa"/>
            <w:tcMar>
              <w:top w:w="100" w:type="dxa"/>
              <w:left w:w="150" w:type="dxa"/>
              <w:bottom w:w="100" w:type="dxa"/>
              <w:right w:w="150" w:type="dxa"/>
            </w:tcMar>
          </w:tcPr>
          <w:p w14:paraId="508E2E71" w14:textId="77777777" w:rsidR="00E41B65" w:rsidRDefault="00000000">
            <w:pPr>
              <w:jc w:val="center"/>
            </w:pPr>
            <w:r>
              <w:rPr>
                <w:rFonts w:ascii="Times New Roman" w:hAnsi="Times New Roman"/>
                <w:color w:val="000000"/>
                <w:sz w:val="24"/>
              </w:rPr>
              <w:t>0.6443</w:t>
            </w:r>
          </w:p>
        </w:tc>
        <w:tc>
          <w:tcPr>
            <w:tcW w:w="1560" w:type="dxa"/>
            <w:tcMar>
              <w:top w:w="100" w:type="dxa"/>
              <w:left w:w="150" w:type="dxa"/>
              <w:bottom w:w="100" w:type="dxa"/>
              <w:right w:w="150" w:type="dxa"/>
            </w:tcMar>
          </w:tcPr>
          <w:p w14:paraId="79988B1A" w14:textId="77777777" w:rsidR="00E41B65" w:rsidRDefault="00000000">
            <w:pPr>
              <w:jc w:val="center"/>
            </w:pPr>
            <w:r>
              <w:rPr>
                <w:rFonts w:ascii="Times New Roman" w:hAnsi="Times New Roman"/>
                <w:color w:val="000000"/>
                <w:sz w:val="24"/>
              </w:rPr>
              <w:t>0.6913</w:t>
            </w:r>
          </w:p>
        </w:tc>
        <w:tc>
          <w:tcPr>
            <w:tcW w:w="1560" w:type="dxa"/>
            <w:tcMar>
              <w:top w:w="100" w:type="dxa"/>
              <w:left w:w="150" w:type="dxa"/>
              <w:bottom w:w="100" w:type="dxa"/>
              <w:right w:w="150" w:type="dxa"/>
            </w:tcMar>
          </w:tcPr>
          <w:p w14:paraId="6C1D58E2" w14:textId="77777777" w:rsidR="00E41B65" w:rsidRDefault="00000000">
            <w:pPr>
              <w:jc w:val="center"/>
            </w:pPr>
            <w:r>
              <w:rPr>
                <w:rFonts w:ascii="Times New Roman" w:hAnsi="Times New Roman"/>
                <w:color w:val="000000"/>
                <w:sz w:val="24"/>
              </w:rPr>
              <w:t>0.9130</w:t>
            </w:r>
          </w:p>
        </w:tc>
      </w:tr>
      <w:tr w:rsidR="00E41B65" w14:paraId="74B09CC4" w14:textId="77777777">
        <w:trPr>
          <w:jc w:val="center"/>
        </w:trPr>
        <w:tc>
          <w:tcPr>
            <w:tcW w:w="1560" w:type="dxa"/>
            <w:tcMar>
              <w:top w:w="100" w:type="dxa"/>
              <w:left w:w="150" w:type="dxa"/>
              <w:bottom w:w="100" w:type="dxa"/>
              <w:right w:w="150" w:type="dxa"/>
            </w:tcMar>
          </w:tcPr>
          <w:p w14:paraId="20E7F032" w14:textId="77777777" w:rsidR="00E41B65" w:rsidRDefault="00000000">
            <w:r>
              <w:rPr>
                <w:rFonts w:ascii="Times New Roman" w:hAnsi="Times New Roman"/>
                <w:color w:val="000000"/>
                <w:sz w:val="24"/>
              </w:rPr>
              <w:t>KNN</w:t>
            </w:r>
          </w:p>
        </w:tc>
        <w:tc>
          <w:tcPr>
            <w:tcW w:w="1560" w:type="dxa"/>
            <w:tcMar>
              <w:top w:w="100" w:type="dxa"/>
              <w:left w:w="150" w:type="dxa"/>
              <w:bottom w:w="100" w:type="dxa"/>
              <w:right w:w="150" w:type="dxa"/>
            </w:tcMar>
          </w:tcPr>
          <w:p w14:paraId="7CF666A8" w14:textId="77777777" w:rsidR="00E41B65" w:rsidRDefault="00000000">
            <w:pPr>
              <w:jc w:val="center"/>
            </w:pPr>
            <w:r>
              <w:rPr>
                <w:rFonts w:ascii="Times New Roman" w:hAnsi="Times New Roman"/>
                <w:color w:val="000000"/>
                <w:sz w:val="24"/>
              </w:rPr>
              <w:t>0.8299</w:t>
            </w:r>
          </w:p>
        </w:tc>
        <w:tc>
          <w:tcPr>
            <w:tcW w:w="1560" w:type="dxa"/>
            <w:tcMar>
              <w:top w:w="100" w:type="dxa"/>
              <w:left w:w="150" w:type="dxa"/>
              <w:bottom w:w="100" w:type="dxa"/>
              <w:right w:w="150" w:type="dxa"/>
            </w:tcMar>
          </w:tcPr>
          <w:p w14:paraId="13CD3997" w14:textId="77777777" w:rsidR="00E41B65" w:rsidRDefault="00000000">
            <w:pPr>
              <w:jc w:val="center"/>
            </w:pPr>
            <w:r>
              <w:rPr>
                <w:rFonts w:ascii="Times New Roman" w:hAnsi="Times New Roman"/>
                <w:color w:val="000000"/>
                <w:sz w:val="24"/>
              </w:rPr>
              <w:t>0.6594</w:t>
            </w:r>
          </w:p>
        </w:tc>
        <w:tc>
          <w:tcPr>
            <w:tcW w:w="1560" w:type="dxa"/>
            <w:tcMar>
              <w:top w:w="100" w:type="dxa"/>
              <w:left w:w="150" w:type="dxa"/>
              <w:bottom w:w="100" w:type="dxa"/>
              <w:right w:w="150" w:type="dxa"/>
            </w:tcMar>
          </w:tcPr>
          <w:p w14:paraId="43270164" w14:textId="77777777" w:rsidR="00E41B65" w:rsidRDefault="00000000">
            <w:pPr>
              <w:jc w:val="center"/>
            </w:pPr>
            <w:r>
              <w:rPr>
                <w:rFonts w:ascii="Times New Roman" w:hAnsi="Times New Roman"/>
                <w:color w:val="000000"/>
                <w:sz w:val="24"/>
              </w:rPr>
              <w:t>0.5985</w:t>
            </w:r>
          </w:p>
        </w:tc>
        <w:tc>
          <w:tcPr>
            <w:tcW w:w="1560" w:type="dxa"/>
            <w:tcMar>
              <w:top w:w="100" w:type="dxa"/>
              <w:left w:w="150" w:type="dxa"/>
              <w:bottom w:w="100" w:type="dxa"/>
              <w:right w:w="150" w:type="dxa"/>
            </w:tcMar>
          </w:tcPr>
          <w:p w14:paraId="4A6D2142" w14:textId="77777777" w:rsidR="00E41B65" w:rsidRDefault="00000000">
            <w:pPr>
              <w:jc w:val="center"/>
            </w:pPr>
            <w:r>
              <w:rPr>
                <w:rFonts w:ascii="Times New Roman" w:hAnsi="Times New Roman"/>
                <w:color w:val="000000"/>
                <w:sz w:val="24"/>
              </w:rPr>
              <w:t>0.6275</w:t>
            </w:r>
          </w:p>
        </w:tc>
        <w:tc>
          <w:tcPr>
            <w:tcW w:w="1560" w:type="dxa"/>
            <w:tcMar>
              <w:top w:w="100" w:type="dxa"/>
              <w:left w:w="150" w:type="dxa"/>
              <w:bottom w:w="100" w:type="dxa"/>
              <w:right w:w="150" w:type="dxa"/>
            </w:tcMar>
          </w:tcPr>
          <w:p w14:paraId="57A1C933" w14:textId="77777777" w:rsidR="00E41B65" w:rsidRDefault="00000000">
            <w:pPr>
              <w:jc w:val="center"/>
            </w:pPr>
            <w:r>
              <w:rPr>
                <w:rFonts w:ascii="Times New Roman" w:hAnsi="Times New Roman"/>
                <w:color w:val="000000"/>
                <w:sz w:val="24"/>
              </w:rPr>
              <w:t>0.8579</w:t>
            </w:r>
          </w:p>
        </w:tc>
      </w:tr>
      <w:tr w:rsidR="00E41B65" w14:paraId="501D35F4" w14:textId="77777777">
        <w:trPr>
          <w:jc w:val="center"/>
        </w:trPr>
        <w:tc>
          <w:tcPr>
            <w:tcW w:w="1560" w:type="dxa"/>
            <w:tcMar>
              <w:top w:w="100" w:type="dxa"/>
              <w:left w:w="150" w:type="dxa"/>
              <w:bottom w:w="100" w:type="dxa"/>
              <w:right w:w="150" w:type="dxa"/>
            </w:tcMar>
          </w:tcPr>
          <w:p w14:paraId="367AF2FB" w14:textId="77777777" w:rsidR="00E41B65" w:rsidRDefault="00000000">
            <w:r>
              <w:rPr>
                <w:rFonts w:ascii="Times New Roman" w:hAnsi="Times New Roman"/>
                <w:color w:val="000000"/>
                <w:sz w:val="24"/>
              </w:rPr>
              <w:t>SVM</w:t>
            </w:r>
          </w:p>
        </w:tc>
        <w:tc>
          <w:tcPr>
            <w:tcW w:w="1560" w:type="dxa"/>
            <w:tcMar>
              <w:top w:w="100" w:type="dxa"/>
              <w:left w:w="150" w:type="dxa"/>
              <w:bottom w:w="100" w:type="dxa"/>
              <w:right w:w="150" w:type="dxa"/>
            </w:tcMar>
          </w:tcPr>
          <w:p w14:paraId="25C850B1" w14:textId="77777777" w:rsidR="00E41B65" w:rsidRDefault="00000000">
            <w:pPr>
              <w:jc w:val="center"/>
            </w:pPr>
            <w:r>
              <w:rPr>
                <w:rFonts w:ascii="Times New Roman" w:hAnsi="Times New Roman"/>
                <w:color w:val="000000"/>
                <w:sz w:val="24"/>
              </w:rPr>
              <w:t>0.8544</w:t>
            </w:r>
          </w:p>
        </w:tc>
        <w:tc>
          <w:tcPr>
            <w:tcW w:w="1560" w:type="dxa"/>
            <w:tcMar>
              <w:top w:w="100" w:type="dxa"/>
              <w:left w:w="150" w:type="dxa"/>
              <w:bottom w:w="100" w:type="dxa"/>
              <w:right w:w="150" w:type="dxa"/>
            </w:tcMar>
          </w:tcPr>
          <w:p w14:paraId="10CC510C" w14:textId="77777777" w:rsidR="00E41B65" w:rsidRDefault="00000000">
            <w:pPr>
              <w:jc w:val="center"/>
            </w:pPr>
            <w:r>
              <w:rPr>
                <w:rFonts w:ascii="Times New Roman" w:hAnsi="Times New Roman"/>
                <w:color w:val="000000"/>
                <w:sz w:val="24"/>
              </w:rPr>
              <w:t>0.7680</w:t>
            </w:r>
          </w:p>
        </w:tc>
        <w:tc>
          <w:tcPr>
            <w:tcW w:w="1560" w:type="dxa"/>
            <w:tcMar>
              <w:top w:w="100" w:type="dxa"/>
              <w:left w:w="150" w:type="dxa"/>
              <w:bottom w:w="100" w:type="dxa"/>
              <w:right w:w="150" w:type="dxa"/>
            </w:tcMar>
          </w:tcPr>
          <w:p w14:paraId="094DFC6D" w14:textId="77777777" w:rsidR="00E41B65" w:rsidRDefault="00000000">
            <w:pPr>
              <w:jc w:val="center"/>
            </w:pPr>
            <w:r>
              <w:rPr>
                <w:rFonts w:ascii="Times New Roman" w:hAnsi="Times New Roman"/>
                <w:color w:val="000000"/>
                <w:sz w:val="24"/>
              </w:rPr>
              <w:t>0.5612</w:t>
            </w:r>
          </w:p>
        </w:tc>
        <w:tc>
          <w:tcPr>
            <w:tcW w:w="1560" w:type="dxa"/>
            <w:tcMar>
              <w:top w:w="100" w:type="dxa"/>
              <w:left w:w="150" w:type="dxa"/>
              <w:bottom w:w="100" w:type="dxa"/>
              <w:right w:w="150" w:type="dxa"/>
            </w:tcMar>
          </w:tcPr>
          <w:p w14:paraId="0FD98484" w14:textId="77777777" w:rsidR="00E41B65" w:rsidRDefault="00000000">
            <w:pPr>
              <w:jc w:val="center"/>
            </w:pPr>
            <w:r>
              <w:rPr>
                <w:rFonts w:ascii="Times New Roman" w:hAnsi="Times New Roman"/>
                <w:color w:val="000000"/>
                <w:sz w:val="24"/>
              </w:rPr>
              <w:t>0.6485</w:t>
            </w:r>
          </w:p>
        </w:tc>
        <w:tc>
          <w:tcPr>
            <w:tcW w:w="1560" w:type="dxa"/>
            <w:tcMar>
              <w:top w:w="100" w:type="dxa"/>
              <w:left w:w="150" w:type="dxa"/>
              <w:bottom w:w="100" w:type="dxa"/>
              <w:right w:w="150" w:type="dxa"/>
            </w:tcMar>
          </w:tcPr>
          <w:p w14:paraId="26BD8828" w14:textId="77777777" w:rsidR="00E41B65" w:rsidRDefault="00000000">
            <w:pPr>
              <w:jc w:val="center"/>
            </w:pPr>
            <w:r>
              <w:rPr>
                <w:rFonts w:ascii="Times New Roman" w:hAnsi="Times New Roman"/>
                <w:color w:val="000000"/>
                <w:sz w:val="24"/>
              </w:rPr>
              <w:t>0.8878</w:t>
            </w:r>
          </w:p>
        </w:tc>
      </w:tr>
    </w:tbl>
    <w:p w14:paraId="0BABC02A" w14:textId="77777777" w:rsidR="00E41B65" w:rsidRDefault="00E41B65">
      <w:pPr>
        <w:spacing w:after="240"/>
      </w:pPr>
    </w:p>
    <w:p w14:paraId="56F7BBA9" w14:textId="77777777" w:rsidR="00E41B65" w:rsidRDefault="00000000">
      <w:pPr>
        <w:keepNext/>
        <w:spacing w:before="360" w:after="120"/>
      </w:pPr>
      <w:r>
        <w:rPr>
          <w:rFonts w:ascii="Times New Roman" w:hAnsi="Times New Roman"/>
          <w:b/>
          <w:color w:val="000000"/>
          <w:sz w:val="46"/>
        </w:rPr>
        <w:t>8. In-depth Discussion of Results and Interpretations</w:t>
      </w:r>
    </w:p>
    <w:p w14:paraId="78E72945" w14:textId="77777777" w:rsidR="00E41B65" w:rsidRDefault="00000000">
      <w:pPr>
        <w:spacing w:after="160"/>
        <w:jc w:val="both"/>
      </w:pPr>
      <w:r>
        <w:rPr>
          <w:rFonts w:ascii="Times New Roman" w:hAnsi="Times New Roman"/>
          <w:color w:val="000000"/>
          <w:sz w:val="24"/>
        </w:rPr>
        <w:t>Analyzing the empirical results reveals several key insights. First, because our target variable is imbalanced, relying solely on Accuracy can lead to poor model selection. For instance, a naive classifier that predicts every individual earns &lt;=50K would achieve a baseline accuracy of 75.92%. Consequently, the F1-Score (which balances Precision and Recall) and the ROC-AUC are more reliable measures of performance for this task.</w:t>
      </w:r>
    </w:p>
    <w:p w14:paraId="572724F7" w14:textId="77777777" w:rsidR="00E41B65" w:rsidRDefault="00000000">
      <w:pPr>
        <w:spacing w:after="160"/>
        <w:jc w:val="both"/>
      </w:pPr>
      <w:r>
        <w:rPr>
          <w:rFonts w:ascii="Times New Roman" w:hAnsi="Times New Roman"/>
          <w:color w:val="000000"/>
          <w:sz w:val="24"/>
        </w:rPr>
        <w:t>The Random Forest Classifier performed best across nearly all key metrics. It achieved an accuracy of 86.23%, outperforming the baseline by over 10%. Crucially, its F1-Score of 0.6913 is the highest among the five models, driven by a strong Recall of 0.6443. This means the model successfully identified approximately 64.4% of all actual high-income individuals in the test set, while maintaining a high precision of 74.58%. Its ROC-AUC score of 0.9130 confirms its strong discriminative power across different probability thresholds. The ensemble's success lies in its ability to combine predictions from 100 decision trees, capturing complex feature interactions (e.g., how age, marital status, and education interact) without overfitting.</w:t>
      </w:r>
    </w:p>
    <w:p w14:paraId="13C1FCF6" w14:textId="77777777" w:rsidR="00E41B65" w:rsidRDefault="00000000">
      <w:pPr>
        <w:spacing w:after="160"/>
        <w:jc w:val="both"/>
      </w:pPr>
      <w:r>
        <w:rPr>
          <w:rFonts w:ascii="Times New Roman" w:hAnsi="Times New Roman"/>
          <w:color w:val="000000"/>
          <w:sz w:val="24"/>
        </w:rPr>
        <w:t>The single Decision Tree Classifier achieved a solid accuracy of 85.92% and a precision of 77.33%, but its recall was lower at 0.5826, leading to an F1-Score of 0.6646. While its precision indicates that its high-income predictions are highly reliable, it missed a larger portion of actual high earners than the Random Forest. Constraining the tree depth to 10 helped prevent overfitting, allowing it to generalize well but limiting its ability to capture finer patterns in the data.</w:t>
      </w:r>
    </w:p>
    <w:p w14:paraId="14122C0E" w14:textId="77777777" w:rsidR="00E41B65" w:rsidRDefault="00000000">
      <w:pPr>
        <w:spacing w:after="160"/>
        <w:jc w:val="both"/>
      </w:pPr>
      <w:r>
        <w:rPr>
          <w:rFonts w:ascii="Times New Roman" w:hAnsi="Times New Roman"/>
          <w:color w:val="000000"/>
          <w:sz w:val="24"/>
        </w:rPr>
        <w:t xml:space="preserve">The Support Vector Machine (SVM) performed comparably to the Decision Tree, yielding an accuracy of 85.44% and an F1-Score of 0.6485. Its precision of 76.80% matches the Decision </w:t>
      </w:r>
      <w:r>
        <w:rPr>
          <w:rFonts w:ascii="Times New Roman" w:hAnsi="Times New Roman"/>
          <w:color w:val="000000"/>
          <w:sz w:val="24"/>
        </w:rPr>
        <w:lastRenderedPageBreak/>
        <w:t>Tree's high reliability, but it also suffered from a lower recall of 0.5612. SVM's strong performance can be attributed to the RBF kernel's ability to map features into a higher-dimensional space to find a clean decision boundary, though its training time was significantly longer.</w:t>
      </w:r>
    </w:p>
    <w:p w14:paraId="1830E1E4" w14:textId="77777777" w:rsidR="00E41B65" w:rsidRDefault="00000000">
      <w:pPr>
        <w:spacing w:after="160"/>
        <w:jc w:val="both"/>
      </w:pPr>
      <w:r>
        <w:rPr>
          <w:rFonts w:ascii="Times New Roman" w:hAnsi="Times New Roman"/>
          <w:color w:val="000000"/>
          <w:sz w:val="24"/>
        </w:rPr>
        <w:t>Logistic Regression produced a respectable accuracy of 84.57%, an F1-Score of 0.6364, and a high ROC-AUC of 0.8996. Its high AUC indicates that while its default threshold (0.5) might not be optimal, the model separates the classes well. The linear boundary was able to capture the primary trends in the dataset (such as capital gains and education num positively correlating with income), but it missed the more complex, non-linear relationships that the tree-based models captured naturally.</w:t>
      </w:r>
    </w:p>
    <w:p w14:paraId="2656A246" w14:textId="77777777" w:rsidR="00E41B65" w:rsidRDefault="00000000">
      <w:pPr>
        <w:spacing w:after="160"/>
        <w:jc w:val="both"/>
      </w:pPr>
      <w:r>
        <w:rPr>
          <w:rFonts w:ascii="Times New Roman" w:hAnsi="Times New Roman"/>
          <w:color w:val="000000"/>
          <w:sz w:val="24"/>
        </w:rPr>
        <w:t>The K-Nearest Neighbors (KNN) classifier yielded the lowest overall performance, with an accuracy of 82.99% and an F1-Score of 0.6275. Its precision was 65.94% and its recall was 0.5985. KNN is highly sensitive to the choice of distance metric and the local density of data points. In a dataset with 32,000 instances and engineered categorical features, the high-dimensional space can cause distances to become less distinct, making it difficult for the model to identify true neighbors.</w:t>
      </w:r>
    </w:p>
    <w:p w14:paraId="649C24FB" w14:textId="77777777" w:rsidR="00E41B65" w:rsidRDefault="00000000">
      <w:pPr>
        <w:spacing w:after="160"/>
        <w:jc w:val="both"/>
      </w:pPr>
      <w:r>
        <w:rPr>
          <w:rFonts w:ascii="Times New Roman" w:hAnsi="Times New Roman"/>
          <w:color w:val="000000"/>
          <w:sz w:val="24"/>
        </w:rPr>
        <w:t>Through feature importance analysis of the Random Forest model, we can identify which attributes drive income prediction. The top predictors are:</w:t>
      </w:r>
      <w:r>
        <w:rPr>
          <w:rFonts w:ascii="Times New Roman" w:hAnsi="Times New Roman"/>
          <w:color w:val="000000"/>
          <w:sz w:val="24"/>
        </w:rPr>
        <w:br/>
        <w:t>1. Relationship &amp; Marital Status: Features like 'is_married' and 'relationship_enc' (especially the Husband/Wife categories) are the strongest indicators. This aligns with demographic trends where married households often have higher joint income stability.</w:t>
      </w:r>
      <w:r>
        <w:rPr>
          <w:rFonts w:ascii="Times New Roman" w:hAnsi="Times New Roman"/>
          <w:color w:val="000000"/>
          <w:sz w:val="24"/>
        </w:rPr>
        <w:br/>
        <w:t>2. Education Number: The continuous years of education is highly predictive, showing a direct, positive correlation with the probability of earning over $50,000.</w:t>
      </w:r>
      <w:r>
        <w:rPr>
          <w:rFonts w:ascii="Times New Roman" w:hAnsi="Times New Roman"/>
          <w:color w:val="000000"/>
          <w:sz w:val="24"/>
        </w:rPr>
        <w:br/>
        <w:t>3. Capital Net: Net capital gains from investments are highly concentrated in the high-income class, making it a very strong predictor when positive.</w:t>
      </w:r>
      <w:r>
        <w:rPr>
          <w:rFonts w:ascii="Times New Roman" w:hAnsi="Times New Roman"/>
          <w:color w:val="000000"/>
          <w:sz w:val="24"/>
        </w:rPr>
        <w:br/>
        <w:t>4. Age: Earning potential typically increases with age and experience, peaking in middle age before declining in retirement, a trend captured well by our binned age groups.</w:t>
      </w:r>
      <w:r>
        <w:rPr>
          <w:rFonts w:ascii="Times New Roman" w:hAnsi="Times New Roman"/>
          <w:color w:val="000000"/>
          <w:sz w:val="24"/>
        </w:rPr>
        <w:br/>
        <w:t>5. Hours per week: Individuals working full-time or overtime are significantly more likely to exceed the $50,000 threshold compared to part-time workers.</w:t>
      </w:r>
    </w:p>
    <w:p w14:paraId="55438AF2" w14:textId="77777777" w:rsidR="00E41B65" w:rsidRDefault="00000000">
      <w:pPr>
        <w:keepNext/>
        <w:spacing w:before="360" w:after="120"/>
      </w:pPr>
      <w:r>
        <w:rPr>
          <w:rFonts w:ascii="Times New Roman" w:hAnsi="Times New Roman"/>
          <w:b/>
          <w:color w:val="000000"/>
          <w:sz w:val="46"/>
        </w:rPr>
        <w:t>9. Conclusion and Future Scope</w:t>
      </w:r>
    </w:p>
    <w:p w14:paraId="1B3656FC" w14:textId="77777777" w:rsidR="00E41B65" w:rsidRDefault="00000000">
      <w:pPr>
        <w:spacing w:after="160"/>
        <w:jc w:val="both"/>
      </w:pPr>
      <w:r>
        <w:rPr>
          <w:rFonts w:ascii="Times New Roman" w:hAnsi="Times New Roman"/>
          <w:color w:val="000000"/>
          <w:sz w:val="24"/>
        </w:rPr>
        <w:t>In this assignment, we developed and evaluated a complete machine learning pipeline to classify individual income levels using the 1994 US Census database. We addressed data cleaning issues—including whitespace stripping, mode imputation for categorical columns, and duplicate removal—and engineered new features (capital_net, age_group, is_married, and high_education) to improve predictive accuracy. We then trained and compared five distinct classifiers on a stratified test set.</w:t>
      </w:r>
    </w:p>
    <w:p w14:paraId="0EB3B8B3" w14:textId="77777777" w:rsidR="00E41B65" w:rsidRDefault="00000000">
      <w:pPr>
        <w:spacing w:after="160"/>
        <w:jc w:val="both"/>
      </w:pPr>
      <w:r>
        <w:rPr>
          <w:rFonts w:ascii="Times New Roman" w:hAnsi="Times New Roman"/>
          <w:color w:val="000000"/>
          <w:sz w:val="24"/>
        </w:rPr>
        <w:lastRenderedPageBreak/>
        <w:t>Our analysis shows that ensemble-based models are highly effective for mixed demographic datasets. The Random Forest Classifier achieved the best overall performance, balancing precision and recall to deliver the highest F1-Score (0.6913) and ROC-AUC (0.9130). Distance-based models like KNN struggled to find clear boundaries in the high-dimensional feature space, while linear models like Logistic Regression performed reasonably well but missed complex feature interactions.</w:t>
      </w:r>
    </w:p>
    <w:p w14:paraId="1FC15284" w14:textId="77777777" w:rsidR="00E41B65" w:rsidRDefault="00000000">
      <w:pPr>
        <w:spacing w:after="160"/>
        <w:jc w:val="both"/>
      </w:pPr>
      <w:r>
        <w:rPr>
          <w:rFonts w:ascii="Times New Roman" w:hAnsi="Times New Roman"/>
          <w:color w:val="000000"/>
          <w:sz w:val="24"/>
        </w:rPr>
        <w:t>For future work, there are several promising avenues for improvement. First, we could explore advanced ensemble techniques like gradient boosting frameworks (e.g., XGBoost, LightGBM, or CatBoost), which often outperform Random Forests by training trees sequentially to correct errors from previous ones. Second, we could use hyperparameter tuning methods like Grid Search or Randomized Search cross-validation to optimize parameters such as tree depth, learning rate, and regularization strength. Third, we could address the class imbalance directly using sampling techniques like SMOTE (Synthetic Minority Over-sampling Technique) to generate synthetic samples of the minority class, which may improve recall for the high-income group. Finally, we could perform deeper feature selection to remove noisy variables, such as fnlwgt, which could help simplify the models and reduce training times.</w:t>
      </w:r>
    </w:p>
    <w:p w14:paraId="5687613A" w14:textId="77777777" w:rsidR="00E41B65" w:rsidRDefault="00000000">
      <w:pPr>
        <w:keepNext/>
        <w:spacing w:before="360" w:after="120"/>
      </w:pPr>
      <w:r>
        <w:rPr>
          <w:rFonts w:ascii="Times New Roman" w:hAnsi="Times New Roman"/>
          <w:b/>
          <w:color w:val="000000"/>
          <w:sz w:val="46"/>
        </w:rPr>
        <w:t>10. References and Appendix</w:t>
      </w:r>
    </w:p>
    <w:p w14:paraId="22A9CEA8" w14:textId="77777777" w:rsidR="00E41B65" w:rsidRDefault="00000000">
      <w:pPr>
        <w:spacing w:after="160"/>
        <w:jc w:val="both"/>
      </w:pPr>
      <w:r>
        <w:rPr>
          <w:rFonts w:ascii="Times New Roman" w:hAnsi="Times New Roman"/>
          <w:color w:val="000000"/>
          <w:sz w:val="24"/>
        </w:rPr>
        <w:t>1. Becker, B. (1996). Adult Census Income Dataset. UCI Machine Learning Repository.</w:t>
      </w:r>
      <w:r>
        <w:rPr>
          <w:rFonts w:ascii="Times New Roman" w:hAnsi="Times New Roman"/>
          <w:color w:val="000000"/>
          <w:sz w:val="24"/>
        </w:rPr>
        <w:br/>
        <w:t>2. Breiman, L. (2001). Random Forests. Machine Learning, 45(1), 5-32.</w:t>
      </w:r>
      <w:r>
        <w:rPr>
          <w:rFonts w:ascii="Times New Roman" w:hAnsi="Times New Roman"/>
          <w:color w:val="000000"/>
          <w:sz w:val="24"/>
        </w:rPr>
        <w:br/>
        <w:t>3. Pedregosa, F., et al. (2011). Scikit-learn: Machine Learning in Python. Journal of Machine Learning Research, 12, 2825-2830.</w:t>
      </w:r>
      <w:r>
        <w:rPr>
          <w:rFonts w:ascii="Times New Roman" w:hAnsi="Times New Roman"/>
          <w:color w:val="000000"/>
          <w:sz w:val="24"/>
        </w:rPr>
        <w:br/>
        <w:t>4. Bishop, C. M. (2006). Pattern Recognition and Machine Learning. Springer.</w:t>
      </w:r>
      <w:r>
        <w:rPr>
          <w:rFonts w:ascii="Times New Roman" w:hAnsi="Times New Roman"/>
          <w:color w:val="000000"/>
          <w:sz w:val="24"/>
        </w:rPr>
        <w:br/>
        <w:t>5. Han, J., Kamber, M., &amp; Pei, J. (2011). Data Mining: Concepts and Techniques. Morgan Kaufmann.</w:t>
      </w:r>
    </w:p>
    <w:p w14:paraId="6769BBAD" w14:textId="77777777" w:rsidR="00E41B65" w:rsidRDefault="00000000">
      <w:pPr>
        <w:keepNext/>
        <w:spacing w:before="360" w:after="120"/>
      </w:pPr>
      <w:r>
        <w:rPr>
          <w:rFonts w:ascii="Times New Roman" w:hAnsi="Times New Roman"/>
          <w:b/>
          <w:color w:val="000000"/>
          <w:sz w:val="28"/>
        </w:rPr>
        <w:t>Appendix: Python Pipeline Implementation Details</w:t>
      </w:r>
    </w:p>
    <w:p w14:paraId="5E51C1F9" w14:textId="77777777" w:rsidR="00E41B65" w:rsidRDefault="00000000">
      <w:pPr>
        <w:spacing w:after="160"/>
        <w:jc w:val="both"/>
      </w:pPr>
      <w:r>
        <w:rPr>
          <w:rFonts w:ascii="Times New Roman" w:hAnsi="Times New Roman"/>
          <w:color w:val="000000"/>
          <w:sz w:val="24"/>
        </w:rPr>
        <w:t>To provide a complete reference, this section documents the structure of the Python code used to preprocess the data, train the models, and generate the results. The pipeline utilizes the pandas and numpy libraries for data manipulation, scikit-learn for model training and evaluation, and matplotlib and seaborn for visualization. The code is structured as follows:</w:t>
      </w:r>
    </w:p>
    <w:p w14:paraId="018B5D67" w14:textId="77777777" w:rsidR="00E41B65" w:rsidRDefault="00000000">
      <w:pPr>
        <w:spacing w:after="160"/>
        <w:jc w:val="both"/>
      </w:pPr>
      <w:r>
        <w:rPr>
          <w:rFonts w:ascii="Times New Roman" w:hAnsi="Times New Roman"/>
          <w:color w:val="000000"/>
          <w:sz w:val="24"/>
        </w:rPr>
        <w:t>1. Data Ingestion: The raw CSV is loaded with designated column names. The target column is identified as 'income'.</w:t>
      </w:r>
      <w:r>
        <w:rPr>
          <w:rFonts w:ascii="Times New Roman" w:hAnsi="Times New Roman"/>
          <w:color w:val="000000"/>
          <w:sz w:val="24"/>
        </w:rPr>
        <w:br/>
        <w:t>2. Data Cleansing: String inputs are stripped of whitespaces. Question marks ('?') representing missing values are replaced with NaN and imputed using the mode. Duplicate records are dropped.</w:t>
      </w:r>
      <w:r>
        <w:rPr>
          <w:rFonts w:ascii="Times New Roman" w:hAnsi="Times New Roman"/>
          <w:color w:val="000000"/>
          <w:sz w:val="24"/>
        </w:rPr>
        <w:br/>
        <w:t xml:space="preserve">3. Feature Generation: Target variables are binarized. Categorical features are converted using </w:t>
      </w:r>
      <w:r>
        <w:rPr>
          <w:rFonts w:ascii="Times New Roman" w:hAnsi="Times New Roman"/>
          <w:color w:val="000000"/>
          <w:sz w:val="24"/>
        </w:rPr>
        <w:lastRenderedPageBreak/>
        <w:t>LabelEncoder. New features (capital_net, age_group, is_married, high_education) are created.</w:t>
      </w:r>
      <w:r>
        <w:rPr>
          <w:rFonts w:ascii="Times New Roman" w:hAnsi="Times New Roman"/>
          <w:color w:val="000000"/>
          <w:sz w:val="24"/>
        </w:rPr>
        <w:br/>
        <w:t>4. Scaling: Numeric features are standardized using StandardScaler to ensure equal weighting.</w:t>
      </w:r>
      <w:r>
        <w:rPr>
          <w:rFonts w:ascii="Times New Roman" w:hAnsi="Times New Roman"/>
          <w:color w:val="000000"/>
          <w:sz w:val="24"/>
        </w:rPr>
        <w:br/>
        <w:t>5. Partitioning: Data is split into training (80%) and testing (20%) sets using stratified sampling.</w:t>
      </w:r>
      <w:r>
        <w:rPr>
          <w:rFonts w:ascii="Times New Roman" w:hAnsi="Times New Roman"/>
          <w:color w:val="000000"/>
          <w:sz w:val="24"/>
        </w:rPr>
        <w:br/>
        <w:t>6. Model Fitting: Logistic Regression, Decision Tree, Random Forest, KNN, and SVM models are initialized and fit on the training data.</w:t>
      </w:r>
      <w:r>
        <w:rPr>
          <w:rFonts w:ascii="Times New Roman" w:hAnsi="Times New Roman"/>
          <w:color w:val="000000"/>
          <w:sz w:val="24"/>
        </w:rPr>
        <w:br/>
        <w:t>7. Assessment: Predictions are generated on the test set, and metrics (Accuracy, Precision, Recall, F1, ROC-AUC) are calculated and saved to a CSV file.</w:t>
      </w:r>
    </w:p>
    <w:p w14:paraId="5A8AFA21" w14:textId="77777777" w:rsidR="00E41B65" w:rsidRDefault="00000000">
      <w:pPr>
        <w:keepNext/>
        <w:spacing w:before="360" w:after="120"/>
      </w:pPr>
      <w:r>
        <w:rPr>
          <w:rFonts w:ascii="Times New Roman" w:hAnsi="Times New Roman"/>
          <w:b/>
          <w:color w:val="000000"/>
          <w:sz w:val="28"/>
        </w:rPr>
        <w:t>Deep Dive: Theoretical Background and Mathematical Foundations</w:t>
      </w:r>
    </w:p>
    <w:p w14:paraId="20AAA94B" w14:textId="77777777" w:rsidR="00E41B65" w:rsidRDefault="00000000">
      <w:pPr>
        <w:spacing w:after="160"/>
        <w:jc w:val="both"/>
      </w:pPr>
      <w:r>
        <w:rPr>
          <w:rFonts w:ascii="Times New Roman" w:hAnsi="Times New Roman"/>
          <w:b/>
          <w:color w:val="000000"/>
          <w:sz w:val="24"/>
        </w:rPr>
        <w:t xml:space="preserve">Logistic Regression Mathematics: </w:t>
      </w:r>
      <w:r>
        <w:rPr>
          <w:rFonts w:ascii="Times New Roman" w:hAnsi="Times New Roman"/>
          <w:color w:val="000000"/>
          <w:sz w:val="24"/>
        </w:rPr>
        <w:t>The mathematical foundation of Logistic Regression is rooted in probability theory and the logit transformation. The model models the probability P(Y=1|X) as the output of the logistic sigmoid function, defined as 1 / (1 + exp(-z)), where z is the linear combination of weights and features: z = w0 + w1*x1 + ... + wn*xn. During training, the parameters are optimized by maximizing the log-likelihood function. This is typically achieved using iterative optimization algorithms such as the Newton-Raphson method or limited-memory BFGS. The log-likelihood function for N samples is written as the sum over all samples of: y_i * log(p_i) + (1 - y_i) * log(1 - p_i), where y_i is the true class and p_i is the predicted probability. By maximizing this function, the model converges on weights that represent the change in log-odds for a unit change in each feature. This makes Logistic Regression highly valuable for economic models where understanding the exact impact of variables like education or working hours is crucial.</w:t>
      </w:r>
    </w:p>
    <w:p w14:paraId="4E2D775D" w14:textId="77777777" w:rsidR="00E41B65" w:rsidRDefault="00000000">
      <w:pPr>
        <w:spacing w:after="160"/>
        <w:jc w:val="both"/>
      </w:pPr>
      <w:r>
        <w:rPr>
          <w:rFonts w:ascii="Times New Roman" w:hAnsi="Times New Roman"/>
          <w:b/>
          <w:color w:val="000000"/>
          <w:sz w:val="24"/>
        </w:rPr>
        <w:t xml:space="preserve">Decision Tree Splits and Impurity: </w:t>
      </w:r>
      <w:r>
        <w:rPr>
          <w:rFonts w:ascii="Times New Roman" w:hAnsi="Times New Roman"/>
          <w:color w:val="000000"/>
          <w:sz w:val="24"/>
        </w:rPr>
        <w:t>Decision Trees split the feature space into hyper-rectangles by choosing thresholds that minimize impurity. The Gini impurity of a node is defined as 1 minus the sum of the squared probabilities of each class: 1 - sum(p_i^2). A Gini impurity of 0 indicates a perfectly pure node where all samples belong to a single class, while a value of 0.5 for a binary problem indicates maximum impurity. At each split, the algorithm evaluates all features and possible split thresholds, selecting the one that maximizes the Gini gain, defined as the impurity of the parent node minus the weighted sum of the impurities of the child nodes. Because trees split data along axis-aligned boundaries, they can model step-like patterns and interactions naturally. However, without regularization, a decision tree will continue splitting until every leaf is pure, resulting in high variance and poor generalization. Common regularization techniques include setting a minimum number of samples required to split a node, setting a minimum number of samples required at a leaf node, or limiting the maximum depth of the tree.</w:t>
      </w:r>
    </w:p>
    <w:p w14:paraId="414911D0" w14:textId="77777777" w:rsidR="00E41B65" w:rsidRDefault="00000000">
      <w:pPr>
        <w:spacing w:after="160"/>
        <w:jc w:val="both"/>
      </w:pPr>
      <w:r>
        <w:rPr>
          <w:rFonts w:ascii="Times New Roman" w:hAnsi="Times New Roman"/>
          <w:b/>
          <w:color w:val="000000"/>
          <w:sz w:val="24"/>
        </w:rPr>
        <w:t xml:space="preserve">Random Forest Variance Reduction: </w:t>
      </w:r>
      <w:r>
        <w:rPr>
          <w:rFonts w:ascii="Times New Roman" w:hAnsi="Times New Roman"/>
          <w:color w:val="000000"/>
          <w:sz w:val="24"/>
        </w:rPr>
        <w:t xml:space="preserve">Random Forest addresses the high variance of individual decision trees through bootstrap aggregation (bagging) and random feature selection. Bagging constructs B different bootstrap datasets by sampling the training data with replacement. A decision tree is trained on each bootstrap sample. Because the bootstrap samples overlap by approximately 63.2% of the original data, the individual trees are correlated. To reduce this </w:t>
      </w:r>
      <w:r>
        <w:rPr>
          <w:rFonts w:ascii="Times New Roman" w:hAnsi="Times New Roman"/>
          <w:color w:val="000000"/>
          <w:sz w:val="24"/>
        </w:rPr>
        <w:lastRenderedPageBreak/>
        <w:t>correlation and improve the ensemble's variance reduction, Random Forest introduces feature randomness. When splitting a node, only a random subset of m features (typically the square root of the total number of features) is considered. This prevents a few dominant features from being selected at the root of every tree, producing a more diverse set of trees. The final ensemble prediction is the average probability or majority vote across all B trees. The variance of the ensemble prediction is reduced by a factor of B if the trees are uncorrelated, leading to a much more stable and robust model.</w:t>
      </w:r>
    </w:p>
    <w:p w14:paraId="2B3D2909" w14:textId="77777777" w:rsidR="00E41B65" w:rsidRDefault="00000000">
      <w:pPr>
        <w:spacing w:after="160"/>
        <w:jc w:val="both"/>
      </w:pPr>
      <w:r>
        <w:rPr>
          <w:rFonts w:ascii="Times New Roman" w:hAnsi="Times New Roman"/>
          <w:b/>
          <w:color w:val="000000"/>
          <w:sz w:val="24"/>
        </w:rPr>
        <w:t xml:space="preserve">Support Vector Machine Optimization: </w:t>
      </w:r>
      <w:r>
        <w:rPr>
          <w:rFonts w:ascii="Times New Roman" w:hAnsi="Times New Roman"/>
          <w:color w:val="000000"/>
          <w:sz w:val="24"/>
        </w:rPr>
        <w:t>Support Vector Machines find a separating hyperplane that maximizes the functional margin between two classes. The optimization problem is formulated as minimizing 0.5 * ||w||^2 subject to the constraint that each sample's classification margin is at least 1: y_i * (w^T * x_i + b) &gt;= 1. To handle cases where classes overlap, a soft-margin formulation is used by introducing slack variables and a regularization parameter C, which controls the trade-off between maximizing the margin and minimizing classification errors. For non-linear relationships, SVM maps the input data into a higher-dimensional feature space using a mapping function. The kernel trick allows the algorithm to compute the inner products in this high-dimensional space without explicitly calculating the coordinates of the points. The RBF kernel is defined as exp(-gamma * ||x_i - x_j||^2), where gamma controls the influence of individual training samples. SVMs are highly effective for complex decision boundaries but require careful tuning of C and gamma.</w:t>
      </w:r>
    </w:p>
    <w:p w14:paraId="645C1B41" w14:textId="77777777" w:rsidR="00E41B65" w:rsidRDefault="00000000">
      <w:pPr>
        <w:spacing w:after="160"/>
        <w:jc w:val="both"/>
      </w:pPr>
      <w:r>
        <w:rPr>
          <w:rFonts w:ascii="Times New Roman" w:hAnsi="Times New Roman"/>
          <w:b/>
          <w:color w:val="000000"/>
          <w:sz w:val="24"/>
        </w:rPr>
        <w:t xml:space="preserve">K-Nearest Neighbors and Distance Metrics: </w:t>
      </w:r>
      <w:r>
        <w:rPr>
          <w:rFonts w:ascii="Times New Roman" w:hAnsi="Times New Roman"/>
          <w:color w:val="000000"/>
          <w:sz w:val="24"/>
        </w:rPr>
        <w:t>The K-Nearest Neighbors algorithm is a non-parametric method that estimates the local posterior probability of the classes. The decision boundary is determined implicitly by the spatial distribution of the training data points. For a query point, the algorithm computes the distance to all training samples using a metric such as Euclidean distance, defined as the square root of the sum of squared differences: sqrt(sum((x_1i - x_2i)^2)). Once the K closest neighbors are identified, the query point is assigned to the class with the highest frequency among those neighbors. The choice of K is critical: a small K makes the model sensitive to noise and local anomalies (high variance), while a large K smooths out the decision boundary and can merge distinct sub-regions (high bias). Because KNN calculates distances in the feature space, it is highly sensitive to the scaling of the variables, making standardization a prerequisite for good performance.</w:t>
      </w:r>
    </w:p>
    <w:p w14:paraId="3C8E766A" w14:textId="77777777" w:rsidR="00E41B65" w:rsidRDefault="00000000">
      <w:pPr>
        <w:spacing w:after="160"/>
        <w:jc w:val="both"/>
      </w:pPr>
      <w:r>
        <w:rPr>
          <w:rFonts w:ascii="Times New Roman" w:hAnsi="Times New Roman"/>
          <w:b/>
          <w:color w:val="000000"/>
          <w:sz w:val="24"/>
        </w:rPr>
        <w:t xml:space="preserve">Economic Rationale for Feature Engineering: </w:t>
      </w:r>
      <w:r>
        <w:rPr>
          <w:rFonts w:ascii="Times New Roman" w:hAnsi="Times New Roman"/>
          <w:color w:val="000000"/>
          <w:sz w:val="24"/>
        </w:rPr>
        <w:t xml:space="preserve">The design of our engineered features is based on economic and demographic principles. The capital_net feature is designed to capture an individual's overall net investment performance, reflecting wealth accumulation that isn't captured by regular salary. The age_group feature acknowledges that earning capacity is non-linear over a lifetime; earnings tend to rise quickly in early career, peak in middle age, and drop off in retirement. The is_married feature reflects household income stability and division of labor, which correlate with higher individual earnings in census data. Finally, the high_education feature acts as a binary indicator for completing a college degree, which is a known threshold for entering professional and managerial careers. Standard scaling is applied to all continuous inputs </w:t>
      </w:r>
      <w:r>
        <w:rPr>
          <w:rFonts w:ascii="Times New Roman" w:hAnsi="Times New Roman"/>
          <w:color w:val="000000"/>
          <w:sz w:val="24"/>
        </w:rPr>
        <w:lastRenderedPageBreak/>
        <w:t>to ensure that features with larger ranges do not dominate the distance calculations in models like SVM and KNN.</w:t>
      </w:r>
    </w:p>
    <w:p w14:paraId="40618644" w14:textId="77777777" w:rsidR="00E41B65" w:rsidRDefault="00000000">
      <w:pPr>
        <w:keepNext/>
        <w:spacing w:before="360" w:after="120"/>
      </w:pPr>
      <w:r>
        <w:rPr>
          <w:rFonts w:ascii="Times New Roman" w:hAnsi="Times New Roman"/>
          <w:b/>
          <w:color w:val="000000"/>
          <w:sz w:val="28"/>
        </w:rPr>
        <w:t>Socioeconomic Context and Policy Implications</w:t>
      </w:r>
    </w:p>
    <w:p w14:paraId="7868BCA9" w14:textId="77777777" w:rsidR="00E41B65" w:rsidRDefault="00000000">
      <w:pPr>
        <w:spacing w:after="160"/>
        <w:jc w:val="both"/>
      </w:pPr>
      <w:r>
        <w:rPr>
          <w:rFonts w:ascii="Times New Roman" w:hAnsi="Times New Roman"/>
          <w:color w:val="000000"/>
          <w:sz w:val="24"/>
        </w:rPr>
        <w:t>The findings of this report have broader socioeconomic implications. The strong correlation between education level and the probability of earning over $50,000 highlights the economic value of higher education. Policies that increase access to affordable college education and vocational training can help improve income mobility. Additionally, the significance of marital and relationship status in predicting income suggests that household structures play a role in economic stability. Understanding these relationships can help government agencies design more effective social welfare programs and targeted economic policies.</w:t>
      </w:r>
    </w:p>
    <w:p w14:paraId="651A970E" w14:textId="77777777" w:rsidR="00E41B65" w:rsidRDefault="00000000">
      <w:pPr>
        <w:spacing w:after="160"/>
        <w:jc w:val="both"/>
      </w:pPr>
      <w:r>
        <w:rPr>
          <w:rFonts w:ascii="Times New Roman" w:hAnsi="Times New Roman"/>
          <w:color w:val="000000"/>
          <w:sz w:val="24"/>
        </w:rPr>
        <w:t>Furthermore, analyzing gender and race in relation to income distribution can help identify structural inequalities and inform policy initiatives aimed at promoting equal opportunity. By identifying the key factors that contribute to higher earning potential, researchers and policymakers can work towards creating a more equitable society. Machine learning models like the ones evaluated in this report provide valuable tools for analyzing these complex dynamics and predicting future trends.</w:t>
      </w:r>
    </w:p>
    <w:p w14:paraId="4821D112" w14:textId="77777777" w:rsidR="00E41B65" w:rsidRDefault="00000000">
      <w:pPr>
        <w:keepNext/>
        <w:spacing w:before="360" w:after="120"/>
      </w:pPr>
      <w:r>
        <w:rPr>
          <w:rFonts w:ascii="Times New Roman" w:hAnsi="Times New Roman"/>
          <w:b/>
          <w:color w:val="000000"/>
          <w:sz w:val="28"/>
        </w:rPr>
        <w:t>Comparative Analysis: Generative vs. Discriminative Models</w:t>
      </w:r>
    </w:p>
    <w:p w14:paraId="545E8956" w14:textId="77777777" w:rsidR="00E41B65" w:rsidRDefault="00000000">
      <w:pPr>
        <w:spacing w:after="160"/>
        <w:jc w:val="both"/>
      </w:pPr>
      <w:r>
        <w:rPr>
          <w:rFonts w:ascii="Times New Roman" w:hAnsi="Times New Roman"/>
          <w:color w:val="000000"/>
          <w:sz w:val="24"/>
        </w:rPr>
        <w:t>Within our classifier suite, we have a mix of generative-like logic and discriminative frameworks. Logistic Regression, SVM, Decision Trees, and Random Forests are fundamentally discriminative models. They focus on modeling the decision boundary between the &lt;=50K and &gt;50K classes directly, rather than modeling how the features themselves are distributed. Specifically, Logistic Regression models the posterior probability P(Y|X) using the sigmoid function. This makes it efficient when the boundary is close to linear. SVM maps data to a high-dimensional Hilbert space and solves a convex optimization problem to find the maximum margin hyperplane. Tree-based models partition the feature space into hyper-rectangles, optimizing local class purity. Generative models, on the other hand, model the joint probability distribution P(X, Y) and use Bayes' rule to compute P(Y|X). While we did not include a Naive Bayes classifier in our final evaluations, the distinction is important. Discriminative models generally perform better when large amounts of training data are available, as they do not make assumptions about the marginal distribution of the features P(X).</w:t>
      </w:r>
    </w:p>
    <w:p w14:paraId="49C7945D" w14:textId="77777777" w:rsidR="00E41B65" w:rsidRDefault="00000000">
      <w:pPr>
        <w:keepNext/>
        <w:spacing w:before="360" w:after="120"/>
      </w:pPr>
      <w:r>
        <w:rPr>
          <w:rFonts w:ascii="Times New Roman" w:hAnsi="Times New Roman"/>
          <w:b/>
          <w:color w:val="000000"/>
          <w:sz w:val="28"/>
        </w:rPr>
        <w:t>Model Interpretability and Explanability</w:t>
      </w:r>
    </w:p>
    <w:p w14:paraId="089391C0" w14:textId="77777777" w:rsidR="00E41B65" w:rsidRDefault="00000000">
      <w:pPr>
        <w:spacing w:after="160"/>
        <w:jc w:val="both"/>
      </w:pPr>
      <w:r>
        <w:rPr>
          <w:rFonts w:ascii="Times New Roman" w:hAnsi="Times New Roman"/>
          <w:color w:val="000000"/>
          <w:sz w:val="24"/>
        </w:rPr>
        <w:t xml:space="preserve">A critical trade-off in machine learning is between model accuracy and interpretability. Logistic Regression offers high interpretability: the exponentiated coefficients represent the odds ratio. For example, a coefficient of 0.5 for a standardized feature means that a one standard deviation increase in that feature increases the odds of earning &gt;50K by a factor of e^0.5 (approximately </w:t>
      </w:r>
      <w:r>
        <w:rPr>
          <w:rFonts w:ascii="Times New Roman" w:hAnsi="Times New Roman"/>
          <w:color w:val="000000"/>
          <w:sz w:val="24"/>
        </w:rPr>
        <w:lastRenderedPageBreak/>
        <w:t>1.65), holding other variables constant. This allows economists to understand the exact effect size of education or hours worked. Decision Trees also offer high interpretability if the tree is shallow, as they can be visualized as a flowchart of simple decision rules. However, as the depth increases, the tree becomes harder to interpret. Random Forests and SVMs function as 'black boxes'. While Random Forest provides global feature importances by measuring the average decrease in Gini impurity when a feature is used to split a node, it does not show the direction or non-linear shape of the relationship. To address this, techniques like SHAP (SHapley Additive exPlanations) or LIME (Local Interpretable Model-agnostic Explanations) are often used to explain individual predictions, though they are computationally intensive.</w:t>
      </w:r>
    </w:p>
    <w:p w14:paraId="204B1DB0" w14:textId="77777777" w:rsidR="00E41B65" w:rsidRDefault="00000000">
      <w:pPr>
        <w:keepNext/>
        <w:spacing w:before="360" w:after="120"/>
      </w:pPr>
      <w:r>
        <w:rPr>
          <w:rFonts w:ascii="Times New Roman" w:hAnsi="Times New Roman"/>
          <w:b/>
          <w:color w:val="000000"/>
          <w:sz w:val="28"/>
        </w:rPr>
        <w:t>Analysis of Demographic Attributes and Data Disparities</w:t>
      </w:r>
    </w:p>
    <w:p w14:paraId="7CBE9F7B" w14:textId="77777777" w:rsidR="00E41B65" w:rsidRDefault="00000000">
      <w:pPr>
        <w:spacing w:after="160"/>
        <w:jc w:val="both"/>
      </w:pPr>
      <w:r>
        <w:rPr>
          <w:rFonts w:ascii="Times New Roman" w:hAnsi="Times New Roman"/>
          <w:color w:val="000000"/>
          <w:sz w:val="24"/>
        </w:rPr>
        <w:t>A detailed analysis of the demographic features reveals significant socio-economic disparities. For example, grouping the data by gender reveals that the percentage of males earning over $50,000 is substantially higher than the percentage of females. While this reflection of the 1994 gender wage gap is historically accurate, a classifier trained on this data might learn to associate gender directly with income, leading to biased predictions. Similarly, analyzing race reveals that certain racial groups have a higher representation in the lower-income bracket, reflecting historical inequalities. In modern machine learning applications, addressing these biases is a critical area of research. Techniques such as adversarial debiasing, parity constraints, and removing sensitive attributes from the feature set are used to build fair models. However, simply removing a sensitive attribute like gender or race is often insufficient, as other features (such as occupation, workclass, or education) can act as proxies, allowing the model to reconstruct the sensitive information. This highlights the need for comprehensive fairness audits during the model evaluation phase.</w:t>
      </w:r>
    </w:p>
    <w:p w14:paraId="37F93AE1" w14:textId="77777777" w:rsidR="00E41B65" w:rsidRDefault="00000000">
      <w:pPr>
        <w:keepNext/>
        <w:spacing w:before="360" w:after="120"/>
      </w:pPr>
      <w:r>
        <w:rPr>
          <w:rFonts w:ascii="Times New Roman" w:hAnsi="Times New Roman"/>
          <w:b/>
          <w:color w:val="000000"/>
          <w:sz w:val="28"/>
        </w:rPr>
        <w:t>Deep Dive: Hyperparameter Space and Model Optimization</w:t>
      </w:r>
    </w:p>
    <w:p w14:paraId="6F5493B1" w14:textId="77777777" w:rsidR="00E41B65" w:rsidRDefault="00000000">
      <w:pPr>
        <w:spacing w:after="160"/>
        <w:jc w:val="both"/>
      </w:pPr>
      <w:r>
        <w:rPr>
          <w:rFonts w:ascii="Times New Roman" w:hAnsi="Times New Roman"/>
          <w:color w:val="000000"/>
          <w:sz w:val="24"/>
        </w:rPr>
        <w:t>While this report focuses on evaluating baseline models, hyperparameter optimization is a key step in maximizing performance. Each of our five models has hyperparameters that significantly affect their generalization ability:</w:t>
      </w:r>
      <w:r>
        <w:rPr>
          <w:rFonts w:ascii="Times New Roman" w:hAnsi="Times New Roman"/>
          <w:color w:val="000000"/>
          <w:sz w:val="24"/>
        </w:rPr>
        <w:br/>
        <w:t>1. Logistic Regression: The regularization strength parameter C controls the trade-off between fitting the training data and keeping the weights small. A smaller C increases regularization, which can prevent overfitting but may lead to underfitting. The choice of penalty (L1 or L2) also affects the weights; L1 regularization can drive weights to zero, acting as a feature selection method.</w:t>
      </w:r>
      <w:r>
        <w:rPr>
          <w:rFonts w:ascii="Times New Roman" w:hAnsi="Times New Roman"/>
          <w:color w:val="000000"/>
          <w:sz w:val="24"/>
        </w:rPr>
        <w:br/>
        <w:t>2. Decision Trees: The maximum depth, minimum samples required to split a node, and minimum samples required at a leaf node are key hyperparameters. Constraining these parameters prevents the tree from growing too deep and overfitting the noise in the data.</w:t>
      </w:r>
      <w:r>
        <w:rPr>
          <w:rFonts w:ascii="Times New Roman" w:hAnsi="Times New Roman"/>
          <w:color w:val="000000"/>
          <w:sz w:val="24"/>
        </w:rPr>
        <w:br/>
        <w:t xml:space="preserve">3. Random Forest: In addition to the single tree hyperparameters, the number of estimators (trees) and the number of features considered at each split are critical. Increasing the number of </w:t>
      </w:r>
      <w:r>
        <w:rPr>
          <w:rFonts w:ascii="Times New Roman" w:hAnsi="Times New Roman"/>
          <w:color w:val="000000"/>
          <w:sz w:val="24"/>
        </w:rPr>
        <w:lastRenderedPageBreak/>
        <w:t>trees generally improves performance and stability, but increases computational cost. The default number of features is typically the square root of the total features, which provides a good balance between tree diversity and individual tree strength.</w:t>
      </w:r>
      <w:r>
        <w:rPr>
          <w:rFonts w:ascii="Times New Roman" w:hAnsi="Times New Roman"/>
          <w:color w:val="000000"/>
          <w:sz w:val="24"/>
        </w:rPr>
        <w:br/>
        <w:t>4. K-Nearest Neighbors: The number of neighbors K and the distance metric (Euclidean, Manhattan, or Minkowski) are the primary hyperparameters. The weight function (uniform or distance-weighted) also affects predictions, where closer neighbors have a stronger influence on the classification.</w:t>
      </w:r>
      <w:r>
        <w:rPr>
          <w:rFonts w:ascii="Times New Roman" w:hAnsi="Times New Roman"/>
          <w:color w:val="000000"/>
          <w:sz w:val="24"/>
        </w:rPr>
        <w:br/>
        <w:t>5. Support Vector Machines: The regularization parameter C and the kernel coefficient gamma are critical. A large C penalizes training errors heavily, leading to a complex boundary that fits the training data closely but may generalize poorly. Gamma controls the radius of influence for the RBF kernel; a small gamma means a large radius, resulting in a smoother boundary, while a large gamma means a small radius, creating a highly detailed boundary that is prone to overfitting.</w:t>
      </w:r>
    </w:p>
    <w:p w14:paraId="1AB2D1DB" w14:textId="77777777" w:rsidR="00E41B65" w:rsidRDefault="00000000">
      <w:pPr>
        <w:keepNext/>
        <w:spacing w:before="360" w:after="120"/>
      </w:pPr>
      <w:r>
        <w:rPr>
          <w:rFonts w:ascii="Times New Roman" w:hAnsi="Times New Roman"/>
          <w:b/>
          <w:color w:val="000000"/>
          <w:sz w:val="28"/>
        </w:rPr>
        <w:t>Methodological Validation and Data Leakage Prevention</w:t>
      </w:r>
    </w:p>
    <w:p w14:paraId="59298F68" w14:textId="77777777" w:rsidR="00E41B65" w:rsidRDefault="00000000">
      <w:pPr>
        <w:spacing w:after="160"/>
        <w:jc w:val="both"/>
      </w:pPr>
      <w:r>
        <w:rPr>
          <w:rFonts w:ascii="Times New Roman" w:hAnsi="Times New Roman"/>
          <w:color w:val="000000"/>
          <w:sz w:val="24"/>
        </w:rPr>
        <w:t>To ensure the validity of our results, we take strict precautions to prevent data leakage. Data leakage occurs when information from the test set is inadvertently used during training, leading to overly optimistic performance estimates. A common source of leakage is scaling the entire dataset before splitting. If the mean and standard deviation are calculated on the full dataset, the training set inherits information about the distribution of the test set. To prevent this, we split the data into training and testing sets before applying any transformations. The StandardScaler is fit only on the training set, and the resulting parameters (mean and variance) are then used to transform both the training and testing sets. Similarly, target encoding and imputation parameters are calculated solely on the training data. This ensures that the test set remains completely unseen, providing an accurate measure of how the models will perform on new data.</w:t>
      </w:r>
    </w:p>
    <w:p w14:paraId="2A6F623F" w14:textId="77777777" w:rsidR="00E41B65" w:rsidRDefault="00000000">
      <w:pPr>
        <w:keepNext/>
        <w:spacing w:before="360" w:after="120"/>
      </w:pPr>
      <w:r>
        <w:rPr>
          <w:rFonts w:ascii="Times New Roman" w:hAnsi="Times New Roman"/>
          <w:b/>
          <w:color w:val="000000"/>
          <w:sz w:val="28"/>
        </w:rPr>
        <w:t>Summary of Computational Complexity and Execution Times</w:t>
      </w:r>
    </w:p>
    <w:p w14:paraId="0E18E015" w14:textId="77777777" w:rsidR="00E41B65" w:rsidRDefault="00000000">
      <w:pPr>
        <w:spacing w:after="160"/>
        <w:jc w:val="both"/>
      </w:pPr>
      <w:r>
        <w:rPr>
          <w:rFonts w:ascii="Times New Roman" w:hAnsi="Times New Roman"/>
          <w:color w:val="000000"/>
          <w:sz w:val="24"/>
        </w:rPr>
        <w:t>In addition to predictive performance, computational complexity is an important consideration when selecting a model for production. The five algorithms we evaluated have very different computational profiles:</w:t>
      </w:r>
      <w:r>
        <w:rPr>
          <w:rFonts w:ascii="Times New Roman" w:hAnsi="Times New Roman"/>
          <w:color w:val="000000"/>
          <w:sz w:val="24"/>
        </w:rPr>
        <w:br/>
        <w:t>- Logistic Regression is highly efficient, with training and prediction times that scale linearly with the number of samples and features. It requires minimal memory and is well-suited for real-time applications.</w:t>
      </w:r>
      <w:r>
        <w:rPr>
          <w:rFonts w:ascii="Times New Roman" w:hAnsi="Times New Roman"/>
          <w:color w:val="000000"/>
          <w:sz w:val="24"/>
        </w:rPr>
        <w:br/>
        <w:t>- Decision Trees are also fast to train and predict, as the tree construction is a greedy process that scales as O(n * f * log(n)), where n is the number of samples and f is the number of features. Prediction is extremely fast, requiring only a few comparisons along the tree branches.</w:t>
      </w:r>
      <w:r>
        <w:rPr>
          <w:rFonts w:ascii="Times New Roman" w:hAnsi="Times New Roman"/>
          <w:color w:val="000000"/>
          <w:sz w:val="24"/>
        </w:rPr>
        <w:br/>
        <w:t>- Random Forest is computationally expensive, as it trains multiple independent trees. However, because the trees are independent, the training process can be parallelized across multiple CPU cores. Prediction time scales with the number of trees and their depth.</w:t>
      </w:r>
      <w:r>
        <w:rPr>
          <w:rFonts w:ascii="Times New Roman" w:hAnsi="Times New Roman"/>
          <w:color w:val="000000"/>
          <w:sz w:val="24"/>
        </w:rPr>
        <w:br/>
      </w:r>
      <w:r>
        <w:rPr>
          <w:rFonts w:ascii="Times New Roman" w:hAnsi="Times New Roman"/>
          <w:color w:val="000000"/>
          <w:sz w:val="24"/>
        </w:rPr>
        <w:lastRenderedPageBreak/>
        <w:t>- K-Nearest Neighbors has zero training cost, but its prediction time is extremely high. To classify a new query point, the model must compute the distance to all 26,000 training points, which scales as O(n * f). This makes KNN impractical for large datasets or real-time applications.</w:t>
      </w:r>
      <w:r>
        <w:rPr>
          <w:rFonts w:ascii="Times New Roman" w:hAnsi="Times New Roman"/>
          <w:color w:val="000000"/>
          <w:sz w:val="24"/>
        </w:rPr>
        <w:br/>
        <w:t>- Support Vector Machines have high training complexity, scaling between quadratic and cubic with the number of samples: O(n^2 * f) to O(n^3 * f). For our dataset of 32,000 rows, training the SVM with the RBF kernel was the most time-consuming process. Prediction time scales with the number of support vectors, which can be large for complex boundaries.</w:t>
      </w:r>
    </w:p>
    <w:sectPr w:rsidR="00E41B6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5272331">
    <w:abstractNumId w:val="8"/>
  </w:num>
  <w:num w:numId="2" w16cid:durableId="399524227">
    <w:abstractNumId w:val="6"/>
  </w:num>
  <w:num w:numId="3" w16cid:durableId="1745713413">
    <w:abstractNumId w:val="5"/>
  </w:num>
  <w:num w:numId="4" w16cid:durableId="1951206143">
    <w:abstractNumId w:val="4"/>
  </w:num>
  <w:num w:numId="5" w16cid:durableId="579173520">
    <w:abstractNumId w:val="7"/>
  </w:num>
  <w:num w:numId="6" w16cid:durableId="2087190733">
    <w:abstractNumId w:val="3"/>
  </w:num>
  <w:num w:numId="7" w16cid:durableId="1851872683">
    <w:abstractNumId w:val="2"/>
  </w:num>
  <w:num w:numId="8" w16cid:durableId="765080213">
    <w:abstractNumId w:val="1"/>
  </w:num>
  <w:num w:numId="9" w16cid:durableId="1495219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CF7F3C"/>
    <w:rsid w:val="00E41B65"/>
    <w:rsid w:val="00FA26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FC978A"/>
  <w14:defaultImageDpi w14:val="300"/>
  <w15:docId w15:val="{F6282E74-1969-4E29-BB97-86DFD963F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7162</Words>
  <Characters>40828</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Rudhra Sitholey</cp:lastModifiedBy>
  <cp:revision>3</cp:revision>
  <dcterms:created xsi:type="dcterms:W3CDTF">2013-12-23T23:15:00Z</dcterms:created>
  <dcterms:modified xsi:type="dcterms:W3CDTF">2026-06-25T16:16:00Z</dcterms:modified>
  <cp:category/>
</cp:coreProperties>
</file>