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Sovereign</w:t>
      </w:r>
      <w:r>
        <w:t xml:space="preserve"> </w:t>
      </w:r>
      <w:r>
        <w:t xml:space="preserve">Policy</w:t>
      </w:r>
      <w:r>
        <w:t xml:space="preserve"> </w:t>
      </w:r>
      <w:r>
        <w:t xml:space="preserve">Token</w:t>
      </w:r>
      <w:r>
        <w:t xml:space="preserve"> </w:t>
      </w:r>
      <w:r>
        <w:t xml:space="preserve">Transactions</w:t>
      </w:r>
      <w:r>
        <w:t xml:space="preserve"> </w:t>
      </w:r>
      <w:r>
        <w:t xml:space="preserve">(SPT-Txn):</w:t>
      </w:r>
      <w:r>
        <w:t xml:space="preserve"> </w:t>
      </w:r>
      <w:r>
        <w:t xml:space="preserve">A</w:t>
      </w:r>
      <w:r>
        <w:t xml:space="preserve"> </w:t>
      </w:r>
      <w:r>
        <w:t xml:space="preserve">Privacy-Preserving,</w:t>
      </w:r>
      <w:r>
        <w:t xml:space="preserve"> </w:t>
      </w:r>
      <w:r>
        <w:t xml:space="preserve">Crypto-Agile</w:t>
      </w:r>
      <w:r>
        <w:t xml:space="preserve"> </w:t>
      </w:r>
      <w:r>
        <w:t xml:space="preserve">Authorization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Regulated</w:t>
      </w:r>
      <w:r>
        <w:t xml:space="preserve"> </w:t>
      </w:r>
      <w:r>
        <w:t xml:space="preserve">and</w:t>
      </w:r>
      <w:r>
        <w:t xml:space="preserve"> </w:t>
      </w:r>
      <w:r>
        <w:t xml:space="preserve">Agentic</w:t>
      </w:r>
      <w:r>
        <w:t xml:space="preserve"> </w:t>
      </w:r>
      <w:r>
        <w:t xml:space="preserve">Systems</w:t>
      </w:r>
    </w:p>
    <w:p>
      <w:pPr>
        <w:pStyle w:val="Author"/>
      </w:pPr>
      <w:r>
        <w:t xml:space="preserve">Rudolf</w:t>
      </w:r>
      <w:r>
        <w:t xml:space="preserve"> </w:t>
      </w:r>
      <w:r>
        <w:t xml:space="preserve">J.</w:t>
      </w:r>
      <w:r>
        <w:t xml:space="preserve"> </w:t>
      </w:r>
      <w:r>
        <w:t xml:space="preserve">Coetzee</w:t>
      </w:r>
      <w:r>
        <w:t xml:space="preserve"> </w:t>
      </w:r>
      <w:r>
        <w:t xml:space="preserve">·</w:t>
      </w:r>
      <w:r>
        <w:t xml:space="preserve"> </w:t>
      </w:r>
      <w:r>
        <w:t xml:space="preserve">Violet</w:t>
      </w:r>
      <w:r>
        <w:t xml:space="preserve"> </w:t>
      </w:r>
      <w:r>
        <w:t xml:space="preserve">Sky</w:t>
      </w:r>
      <w:r>
        <w:t xml:space="preserve"> </w:t>
      </w:r>
      <w:r>
        <w:t xml:space="preserve">Security</w:t>
      </w:r>
      <w:r>
        <w:t xml:space="preserve"> </w:t>
      </w:r>
      <w:r>
        <w:t xml:space="preserve">SEZC</w:t>
      </w:r>
      <w:r>
        <w:t xml:space="preserve"> </w:t>
      </w:r>
      <w:r>
        <w:t xml:space="preserve">(Cayman</w:t>
      </w:r>
      <w:r>
        <w:t xml:space="preserve"> </w:t>
      </w:r>
      <w:r>
        <w:t xml:space="preserve">Islands)</w:t>
      </w:r>
    </w:p>
    <w:p>
      <w:pPr>
        <w:pStyle w:val="Author"/>
      </w:pPr>
      <w:r>
        <w:t xml:space="preserve">ORCID</w:t>
      </w:r>
      <w:r>
        <w:t xml:space="preserve"> </w:t>
      </w:r>
      <w:r>
        <w:t xml:space="preserve">0009-0009-6557-8843</w:t>
      </w:r>
    </w:p>
    <w:p>
      <w:pPr>
        <w:pStyle w:val="Date"/>
      </w:pPr>
      <w:r>
        <w:t xml:space="preserve">25</w:t>
      </w:r>
      <w:r>
        <w:t xml:space="preserve"> </w:t>
      </w:r>
      <w:r>
        <w:t xml:space="preserve">June</w:t>
      </w:r>
      <w:r>
        <w:t xml:space="preserve"> </w:t>
      </w:r>
      <w:r>
        <w:t xml:space="preserve">2026</w:t>
      </w:r>
    </w:p>
    <w:p>
      <w:pPr>
        <w:pStyle w:val="Abstract"/>
      </w:pPr>
      <w:r>
        <w:t xml:space="preserve">Every</w:t>
      </w:r>
      <w:r>
        <w:t xml:space="preserve"> </w:t>
      </w:r>
      <w:r>
        <w:t xml:space="preserve">regulated</w:t>
      </w:r>
      <w:r>
        <w:t xml:space="preserve"> </w:t>
      </w:r>
      <w:r>
        <w:t xml:space="preserve">interaction,</w:t>
      </w:r>
      <w:r>
        <w:t xml:space="preserve"> </w:t>
      </w:r>
      <w:r>
        <w:t xml:space="preserve">opening</w:t>
      </w:r>
      <w:r>
        <w:t xml:space="preserve"> </w:t>
      </w:r>
      <w:r>
        <w:t xml:space="preserve">an</w:t>
      </w:r>
      <w:r>
        <w:t xml:space="preserve"> </w:t>
      </w:r>
      <w:r>
        <w:t xml:space="preserve">account,</w:t>
      </w:r>
      <w:r>
        <w:t xml:space="preserve"> </w:t>
      </w:r>
      <w:r>
        <w:t xml:space="preserve">transacting</w:t>
      </w:r>
      <w:r>
        <w:t xml:space="preserve"> </w:t>
      </w:r>
      <w:r>
        <w:t xml:space="preserve">a</w:t>
      </w:r>
      <w:r>
        <w:t xml:space="preserve"> </w:t>
      </w:r>
      <w:r>
        <w:t xml:space="preserve">tokenized</w:t>
      </w:r>
      <w:r>
        <w:t xml:space="preserve"> </w:t>
      </w:r>
      <w:r>
        <w:t xml:space="preserve">asset,</w:t>
      </w:r>
      <w:r>
        <w:t xml:space="preserve"> </w:t>
      </w:r>
      <w:r>
        <w:t xml:space="preserve">authorizing</w:t>
      </w:r>
      <w:r>
        <w:t xml:space="preserve"> </w:t>
      </w:r>
      <w:r>
        <w:t xml:space="preserve">an</w:t>
      </w:r>
      <w:r>
        <w:t xml:space="preserve"> </w:t>
      </w:r>
      <w:r>
        <w:t xml:space="preserve">AI</w:t>
      </w:r>
      <w:r>
        <w:t xml:space="preserve"> </w:t>
      </w:r>
      <w:r>
        <w:t xml:space="preserve">agent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person’s</w:t>
      </w:r>
      <w:r>
        <w:t xml:space="preserve"> </w:t>
      </w:r>
      <w:r>
        <w:t xml:space="preserve">behalf,</w:t>
      </w:r>
      <w:r>
        <w:t xml:space="preserve"> </w:t>
      </w:r>
      <w:r>
        <w:t xml:space="preserve">today</w:t>
      </w:r>
      <w:r>
        <w:t xml:space="preserve"> </w:t>
      </w:r>
      <w:r>
        <w:t xml:space="preserve">requires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eligibility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re-verified</w:t>
      </w:r>
      <w:r>
        <w:t xml:space="preserve"> </w:t>
      </w:r>
      <w:r>
        <w:t xml:space="preserve">from</w:t>
      </w:r>
      <w:r>
        <w:t xml:space="preserve"> </w:t>
      </w:r>
      <w:r>
        <w:t xml:space="preserve">scratch,</w:t>
      </w:r>
      <w:r>
        <w:t xml:space="preserve"> </w:t>
      </w:r>
      <w:r>
        <w:t xml:space="preserve">at</w:t>
      </w:r>
      <w:r>
        <w:t xml:space="preserve"> </w:t>
      </w:r>
      <w:r>
        <w:t xml:space="preserve">every</w:t>
      </w:r>
      <w:r>
        <w:t xml:space="preserve"> </w:t>
      </w:r>
      <w:r>
        <w:t xml:space="preserve">platform,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tens</w:t>
      </w:r>
      <w:r>
        <w:t xml:space="preserve"> </w:t>
      </w:r>
      <w:r>
        <w:t xml:space="preserve">of</w:t>
      </w:r>
      <w:r>
        <w:t xml:space="preserve"> </w:t>
      </w:r>
      <w:r>
        <w:t xml:space="preserve">dollars</w:t>
      </w:r>
      <w:r>
        <w:t xml:space="preserve"> </w:t>
      </w:r>
      <w:r>
        <w:t xml:space="preserve">and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latency</w:t>
      </w:r>
      <w:r>
        <w:t xml:space="preserve"> </w:t>
      </w:r>
      <w:r>
        <w:t xml:space="preserve">per</w:t>
      </w:r>
      <w:r>
        <w:t xml:space="preserve"> </w:t>
      </w:r>
      <w:r>
        <w:t xml:space="preserve">check.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exhaust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model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standing</w:t>
      </w:r>
      <w:r>
        <w:t xml:space="preserve"> </w:t>
      </w:r>
      <w:r>
        <w:t xml:space="preserve">breach</w:t>
      </w:r>
      <w:r>
        <w:t xml:space="preserve"> </w:t>
      </w:r>
      <w:r>
        <w:t xml:space="preserve">liability,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survive</w:t>
      </w:r>
      <w:r>
        <w:t xml:space="preserve"> </w:t>
      </w:r>
      <w:r>
        <w:t xml:space="preserve">the</w:t>
      </w:r>
      <w:r>
        <w:t xml:space="preserve"> </w:t>
      </w:r>
      <w:r>
        <w:t xml:space="preserve">move</w:t>
      </w:r>
      <w:r>
        <w:t xml:space="preserve"> </w:t>
      </w:r>
      <w:r>
        <w:t xml:space="preserve">to</w:t>
      </w:r>
      <w:r>
        <w:t xml:space="preserve"> </w:t>
      </w:r>
      <w:r>
        <w:t xml:space="preserve">autonomous</w:t>
      </w:r>
      <w:r>
        <w:t xml:space="preserve"> </w:t>
      </w:r>
      <w:r>
        <w:t xml:space="preserve">agents,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accountable</w:t>
      </w:r>
      <w:r>
        <w:t xml:space="preserve"> </w:t>
      </w:r>
      <w:r>
        <w:t xml:space="preserve">human</w:t>
      </w:r>
      <w:r>
        <w:t xml:space="preserve"> </w:t>
      </w:r>
      <w:r>
        <w:t xml:space="preserve">dissolves</w:t>
      </w:r>
      <w:r>
        <w:t xml:space="preserve"> </w:t>
      </w:r>
      <w:r>
        <w:t xml:space="preserve">within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two</w:t>
      </w:r>
      <w:r>
        <w:t xml:space="preserve"> </w:t>
      </w:r>
      <w:r>
        <w:t xml:space="preserve">delegation</w:t>
      </w:r>
      <w:r>
        <w:t xml:space="preserve"> </w:t>
      </w:r>
      <w:r>
        <w:t xml:space="preserve">hops.</w:t>
      </w:r>
    </w:p>
    <w:p>
      <w:pPr>
        <w:pStyle w:val="Abstract"/>
      </w:pPr>
      <w:r>
        <w:t xml:space="preserve">SPT-Txn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authorization</w:t>
      </w:r>
      <w:r>
        <w:t xml:space="preserve"> </w:t>
      </w:r>
      <w:r>
        <w:t xml:space="preserve">framework</w:t>
      </w:r>
      <w:r>
        <w:t xml:space="preserve"> </w:t>
      </w:r>
      <w:r>
        <w:t xml:space="preserve">that</w:t>
      </w:r>
      <w:r>
        <w:t xml:space="preserve"> </w:t>
      </w:r>
      <w:r>
        <w:t xml:space="preserve">verifies</w:t>
      </w:r>
      <w:r>
        <w:t xml:space="preserve"> </w:t>
      </w:r>
      <w:r>
        <w:t xml:space="preserve">once</w:t>
      </w:r>
      <w:r>
        <w:t xml:space="preserve"> </w:t>
      </w:r>
      <w:r>
        <w:t xml:space="preserve">and</w:t>
      </w:r>
      <w:r>
        <w:t xml:space="preserve"> </w:t>
      </w:r>
      <w:r>
        <w:t xml:space="preserve">proves</w:t>
      </w:r>
      <w:r>
        <w:t xml:space="preserve"> </w:t>
      </w:r>
      <w:r>
        <w:t xml:space="preserve">everywhere.</w:t>
      </w:r>
      <w:r>
        <w:t xml:space="preserve"> </w:t>
      </w:r>
      <w:r>
        <w:t xml:space="preserve">A</w:t>
      </w:r>
      <w:r>
        <w:t xml:space="preserve"> </w:t>
      </w:r>
      <w:r>
        <w:t xml:space="preserve">user</w:t>
      </w:r>
      <w:r>
        <w:t xml:space="preserve"> </w:t>
      </w:r>
      <w:r>
        <w:t xml:space="preserve">holds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Compliance</w:t>
      </w:r>
      <w:r>
        <w:rPr>
          <w:b/>
        </w:rPr>
        <w:t xml:space="preserve"> </w:t>
      </w:r>
      <w:r>
        <w:rPr>
          <w:b/>
        </w:rPr>
        <w:t xml:space="preserve">Attestation</w:t>
      </w:r>
      <w:r>
        <w:rPr>
          <w:b/>
        </w:rPr>
        <w:t xml:space="preserve"> </w:t>
      </w:r>
      <w:r>
        <w:rPr>
          <w:b/>
        </w:rPr>
        <w:t xml:space="preserve">Token</w:t>
      </w:r>
      <w:r>
        <w:rPr>
          <w:b/>
        </w:rPr>
        <w:t xml:space="preserve"> </w:t>
      </w:r>
      <w:r>
        <w:rPr>
          <w:b/>
        </w:rPr>
        <w:t xml:space="preserve">(CAT)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t xml:space="preserve">W3C</w:t>
      </w:r>
      <w:r>
        <w:t xml:space="preserve"> </w:t>
      </w:r>
      <w:r>
        <w:t xml:space="preserve">Verifiable</w:t>
      </w:r>
      <w:r>
        <w:t xml:space="preserve"> </w:t>
      </w:r>
      <w:r>
        <w:t xml:space="preserve">Credential,</w:t>
      </w:r>
      <w:r>
        <w:t xml:space="preserve"> </w:t>
      </w:r>
      <w:r>
        <w:t xml:space="preserve">issued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regulated</w:t>
      </w:r>
      <w:r>
        <w:t xml:space="preserve"> </w:t>
      </w:r>
      <w:r>
        <w:t xml:space="preserve">KYC/compliance</w:t>
      </w:r>
      <w:r>
        <w:t xml:space="preserve"> </w:t>
      </w:r>
      <w:r>
        <w:t xml:space="preserve">provider,</w:t>
      </w:r>
      <w:r>
        <w:t xml:space="preserve"> </w:t>
      </w:r>
      <w:r>
        <w:t xml:space="preserve">that</w:t>
      </w:r>
      <w:r>
        <w:t xml:space="preserve"> </w:t>
      </w:r>
      <w:r>
        <w:t xml:space="preserve">binds</w:t>
      </w:r>
      <w:r>
        <w:t xml:space="preserve"> </w:t>
      </w:r>
      <w:r>
        <w:t xml:space="preserve">zero-knowledge-provable</w:t>
      </w:r>
      <w:r>
        <w:t xml:space="preserve"> </w:t>
      </w:r>
      <w:r>
        <w:t xml:space="preserve">compliance</w:t>
      </w:r>
      <w:r>
        <w:t xml:space="preserve"> </w:t>
      </w:r>
      <w:r>
        <w:t xml:space="preserve">attributes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zkDID</w:t>
      </w:r>
      <w:r>
        <w:t xml:space="preserve"> </w:t>
      </w:r>
      <w:r>
        <w:t xml:space="preserve">commitment.</w:t>
      </w:r>
      <w:r>
        <w:t xml:space="preserve"> </w:t>
      </w:r>
      <w:r>
        <w:t xml:space="preserve">A</w:t>
      </w:r>
      <w:r>
        <w:t xml:space="preserve"> </w:t>
      </w:r>
      <w:r>
        <w:t xml:space="preserve">platform</w:t>
      </w:r>
      <w:r>
        <w:t xml:space="preserve"> </w:t>
      </w:r>
      <w:r>
        <w:t xml:space="preserve">evaluates</w:t>
      </w:r>
      <w:r>
        <w:t xml:space="preserve"> </w:t>
      </w:r>
      <w:r>
        <w:t xml:space="preserve">a</w:t>
      </w:r>
      <w:r>
        <w:t xml:space="preserve"> </w:t>
      </w:r>
      <w:r>
        <w:t xml:space="preserve">zero-knowledge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CAT</w:t>
      </w:r>
      <w:r>
        <w:t xml:space="preserve"> </w:t>
      </w:r>
      <w:r>
        <w:t xml:space="preserve">against</w:t>
      </w:r>
      <w:r>
        <w:t xml:space="preserve"> </w:t>
      </w:r>
      <w:r>
        <w:t xml:space="preserve">a</w:t>
      </w:r>
      <w:r>
        <w:t xml:space="preserve"> </w:t>
      </w:r>
      <w:r>
        <w:t xml:space="preserve">representation-agnostic</w:t>
      </w:r>
      <w:r>
        <w:t xml:space="preserve"> </w:t>
      </w:r>
      <w:r>
        <w:rPr>
          <w:b/>
        </w:rPr>
        <w:t xml:space="preserve">policy</w:t>
      </w:r>
      <w:r>
        <w:rPr>
          <w:b/>
        </w:rPr>
        <w:t xml:space="preserve"> </w:t>
      </w:r>
      <w:r>
        <w:rPr>
          <w:b/>
        </w:rPr>
        <w:t xml:space="preserve">object</w:t>
      </w:r>
      <w:r>
        <w:t xml:space="preserve"> </w:t>
      </w:r>
      <w:r>
        <w:t xml:space="preserve">and,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match,</w:t>
      </w:r>
      <w:r>
        <w:t xml:space="preserve"> </w:t>
      </w:r>
      <w:r>
        <w:t xml:space="preserve">issues</w:t>
      </w:r>
      <w:r>
        <w:t xml:space="preserve"> </w:t>
      </w:r>
      <w:r>
        <w:t xml:space="preserve">a</w:t>
      </w:r>
      <w:r>
        <w:t xml:space="preserve"> </w:t>
      </w:r>
      <w:r>
        <w:t xml:space="preserve">scope-bounded</w:t>
      </w:r>
      <w:r>
        <w:t xml:space="preserve"> </w:t>
      </w:r>
      <w:r>
        <w:rPr>
          <w:b/>
        </w:rPr>
        <w:t xml:space="preserve">Capability</w:t>
      </w:r>
      <w:r>
        <w:rPr>
          <w:b/>
        </w:rPr>
        <w:t xml:space="preserve"> </w:t>
      </w:r>
      <w:r>
        <w:rPr>
          <w:b/>
        </w:rPr>
        <w:t xml:space="preserve">Token</w:t>
      </w:r>
      <w:r>
        <w:rPr>
          <w:b/>
        </w:rPr>
        <w:t xml:space="preserve"> </w:t>
      </w:r>
      <w:r>
        <w:rPr>
          <w:b/>
        </w:rPr>
        <w:t xml:space="preserve">(CT)</w:t>
      </w:r>
      <w:r>
        <w:t xml:space="preserve">;</w:t>
      </w:r>
      <w:r>
        <w:t xml:space="preserve"> </w:t>
      </w:r>
      <w:r>
        <w:t xml:space="preserve">an</w:t>
      </w:r>
      <w:r>
        <w:t xml:space="preserve"> </w:t>
      </w:r>
      <w:r>
        <w:t xml:space="preserve">AI</w:t>
      </w:r>
      <w:r>
        <w:t xml:space="preserve"> </w:t>
      </w:r>
      <w:r>
        <w:t xml:space="preserve">agent</w:t>
      </w:r>
      <w:r>
        <w:t xml:space="preserve"> </w:t>
      </w:r>
      <w:r>
        <w:t xml:space="preserve">receives</w:t>
      </w:r>
      <w:r>
        <w:t xml:space="preserve"> </w:t>
      </w:r>
      <w:r>
        <w:t xml:space="preserve">a</w:t>
      </w:r>
      <w:r>
        <w:t xml:space="preserve"> </w:t>
      </w:r>
      <w:r>
        <w:t xml:space="preserve">strictly</w:t>
      </w:r>
      <w:r>
        <w:t xml:space="preserve"> </w:t>
      </w:r>
      <w:r>
        <w:t xml:space="preserve">attenuated,</w:t>
      </w:r>
      <w:r>
        <w:t xml:space="preserve"> </w:t>
      </w:r>
      <w:r>
        <w:t xml:space="preserve">delegation-depth-bounded</w:t>
      </w:r>
      <w:r>
        <w:t xml:space="preserve"> </w:t>
      </w:r>
      <w:r>
        <w:t xml:space="preserve">CT</w:t>
      </w:r>
      <w:r>
        <w:t xml:space="preserve"> </w:t>
      </w:r>
      <w:r>
        <w:t xml:space="preserve">carrying</w:t>
      </w:r>
      <w:r>
        <w:t xml:space="preserve"> </w:t>
      </w:r>
      <w:r>
        <w:t xml:space="preserve">an</w:t>
      </w:r>
      <w:r>
        <w:t xml:space="preserve"> </w:t>
      </w:r>
      <w:r>
        <w:t xml:space="preserve">immutable</w:t>
      </w:r>
      <w:r>
        <w:t xml:space="preserve"> </w:t>
      </w:r>
      <w:r>
        <w:rPr>
          <w:b/>
        </w:rPr>
        <w:t xml:space="preserve">humanAnchor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accountable</w:t>
      </w:r>
      <w:r>
        <w:t xml:space="preserve"> </w:t>
      </w:r>
      <w:r>
        <w:t xml:space="preserve">person.</w:t>
      </w:r>
      <w:r>
        <w:t xml:space="preserve"> </w:t>
      </w:r>
      <w:r>
        <w:t xml:space="preserve">Each</w:t>
      </w:r>
      <w:r>
        <w:t xml:space="preserve"> </w:t>
      </w:r>
      <w:r>
        <w:t xml:space="preserve">action</w:t>
      </w:r>
      <w:r>
        <w:t xml:space="preserve"> </w:t>
      </w:r>
      <w:r>
        <w:t xml:space="preserve">emits</w:t>
      </w:r>
      <w:r>
        <w:t xml:space="preserve"> </w:t>
      </w:r>
      <w:r>
        <w:t xml:space="preserve">a</w:t>
      </w:r>
      <w:r>
        <w:t xml:space="preserve"> </w:t>
      </w:r>
      <w:r>
        <w:t xml:space="preserve">transaction-bound</w:t>
      </w:r>
      <w:r>
        <w:t xml:space="preserve"> </w:t>
      </w:r>
      <w:r>
        <w:rPr>
          <w:b/>
        </w:rPr>
        <w:t xml:space="preserve">SPT-Txn</w:t>
      </w:r>
      <w:r>
        <w:rPr>
          <w:b/>
        </w:rPr>
        <w:t xml:space="preserve"> </w:t>
      </w:r>
      <w:r>
        <w:rPr>
          <w:b/>
        </w:rPr>
        <w:t xml:space="preserve">token</w:t>
      </w:r>
      <w:r>
        <w:t xml:space="preserve"> </w:t>
      </w:r>
      <w:r>
        <w:t xml:space="preserve">(≈30</w:t>
      </w:r>
      <w:r>
        <w:t xml:space="preserve"> </w:t>
      </w:r>
      <w:r>
        <w:t xml:space="preserve">s</w:t>
      </w:r>
      <w:r>
        <w:t xml:space="preserve"> </w:t>
      </w:r>
      <w:r>
        <w:t xml:space="preserve">lifetime,</w:t>
      </w:r>
      <w:r>
        <w:t xml:space="preserve"> </w:t>
      </w:r>
      <w:r>
        <w:t xml:space="preserve">sender-constrained</w:t>
      </w:r>
      <w:r>
        <w:t xml:space="preserve"> </w:t>
      </w:r>
      <w:r>
        <w:t xml:space="preserve">per</w:t>
      </w:r>
      <w:r>
        <w:t xml:space="preserve"> </w:t>
      </w:r>
      <w:r>
        <w:t xml:space="preserve">DPoP),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step</w:t>
      </w:r>
      <w:r>
        <w:t xml:space="preserve"> </w:t>
      </w:r>
      <w:r>
        <w:t xml:space="preserve">is</w:t>
      </w:r>
      <w:r>
        <w:t xml:space="preserve"> </w:t>
      </w:r>
      <w:r>
        <w:t xml:space="preserve">recorded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tamper-evident</w:t>
      </w:r>
      <w:r>
        <w:t xml:space="preserve"> </w:t>
      </w:r>
      <w:r>
        <w:t xml:space="preserve">audit</w:t>
      </w:r>
      <w:r>
        <w:t xml:space="preserve"> </w:t>
      </w:r>
      <w:r>
        <w:t xml:space="preserve">trail.</w:t>
      </w:r>
      <w:r>
        <w:t xml:space="preserve"> </w:t>
      </w:r>
      <w:r>
        <w:t xml:space="preserve">No</w:t>
      </w:r>
      <w:r>
        <w:t xml:space="preserve"> </w:t>
      </w:r>
      <w:r>
        <w:t xml:space="preserve">personally</w:t>
      </w:r>
      <w:r>
        <w:t xml:space="preserve"> </w:t>
      </w:r>
      <w:r>
        <w:t xml:space="preserve">identifiable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is</w:t>
      </w:r>
      <w:r>
        <w:t xml:space="preserve"> </w:t>
      </w:r>
      <w:r>
        <w:t xml:space="preserve">transmitted</w:t>
      </w:r>
      <w:r>
        <w:t xml:space="preserve"> </w:t>
      </w:r>
      <w:r>
        <w:t xml:space="preserve">or</w:t>
      </w:r>
      <w:r>
        <w:t xml:space="preserve"> </w:t>
      </w:r>
      <w:r>
        <w:t xml:space="preserve">stored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verifying</w:t>
      </w:r>
      <w:r>
        <w:t xml:space="preserve"> </w:t>
      </w:r>
      <w:r>
        <w:t xml:space="preserve">party;</w:t>
      </w:r>
      <w:r>
        <w:t xml:space="preserve"> </w:t>
      </w:r>
      <w:r>
        <w:t xml:space="preserve">compliance</w:t>
      </w:r>
      <w:r>
        <w:t xml:space="preserve"> </w:t>
      </w:r>
      <w:r>
        <w:t xml:space="preserve">is</w:t>
      </w:r>
      <w:r>
        <w:t xml:space="preserve"> </w:t>
      </w:r>
      <w:r>
        <w:t xml:space="preserve">proven,</w:t>
      </w:r>
      <w:r>
        <w:t xml:space="preserve"> </w:t>
      </w:r>
      <w:r>
        <w:t xml:space="preserve">not</w:t>
      </w:r>
      <w:r>
        <w:t xml:space="preserve"> </w:t>
      </w:r>
      <w:r>
        <w:t xml:space="preserve">disclosed.</w:t>
      </w:r>
    </w:p>
    <w:p>
      <w:pPr>
        <w:pStyle w:val="Abstract"/>
      </w:pPr>
      <w:r>
        <w:t xml:space="preserve">The</w:t>
      </w:r>
      <w:r>
        <w:t xml:space="preserve"> </w:t>
      </w:r>
      <w:r>
        <w:t xml:space="preserve">framework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blockchain-agnostic</w:t>
      </w:r>
      <w:r>
        <w:t xml:space="preserve"> </w:t>
      </w:r>
      <w:r>
        <w:t xml:space="preserve">(a</w:t>
      </w:r>
      <w:r>
        <w:t xml:space="preserve"> </w:t>
      </w:r>
      <w:r>
        <w:t xml:space="preserve">ledger</w:t>
      </w:r>
      <w:r>
        <w:t xml:space="preserve"> </w:t>
      </w:r>
      <w:r>
        <w:t xml:space="preserve">adapter;</w:t>
      </w:r>
      <w:r>
        <w:t xml:space="preserve"> </w:t>
      </w:r>
      <w:r>
        <w:t xml:space="preserve">XRPL</w:t>
      </w:r>
      <w:r>
        <w:t xml:space="preserve"> </w:t>
      </w:r>
      <w:r>
        <w:t xml:space="preserve">and</w:t>
      </w:r>
      <w:r>
        <w:t xml:space="preserve"> </w:t>
      </w:r>
      <w:r>
        <w:t xml:space="preserve">others</w:t>
      </w:r>
      <w:r>
        <w:t xml:space="preserve"> </w:t>
      </w:r>
      <w:r>
        <w:t xml:space="preserve">are</w:t>
      </w:r>
      <w:r>
        <w:t xml:space="preserve"> </w:t>
      </w:r>
      <w:r>
        <w:t xml:space="preserve">deployment</w:t>
      </w:r>
      <w:r>
        <w:t xml:space="preserve"> </w:t>
      </w:r>
      <w:r>
        <w:t xml:space="preserve">targets,</w:t>
      </w:r>
      <w:r>
        <w:t xml:space="preserve"> </w:t>
      </w:r>
      <w:r>
        <w:t xml:space="preserve">not</w:t>
      </w:r>
      <w:r>
        <w:t xml:space="preserve"> </w:t>
      </w:r>
      <w:r>
        <w:t xml:space="preserve">dependencies),</w:t>
      </w:r>
      <w:r>
        <w:t xml:space="preserve"> </w:t>
      </w:r>
      <w:r>
        <w:t xml:space="preserve">carries</w:t>
      </w:r>
      <w:r>
        <w:t xml:space="preserve"> </w:t>
      </w:r>
      <w:r>
        <w:t xml:space="preserve">no</w:t>
      </w:r>
      <w:r>
        <w:t xml:space="preserve"> </w:t>
      </w:r>
      <w:r>
        <w:t xml:space="preserve">native</w:t>
      </w:r>
      <w:r>
        <w:t xml:space="preserve"> </w:t>
      </w:r>
      <w:r>
        <w:t xml:space="preserve">token,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crypto-agile</w:t>
      </w:r>
      <w:r>
        <w:rPr>
          <w:b/>
        </w:rPr>
        <w:t xml:space="preserve"> </w:t>
      </w:r>
      <w:r>
        <w:rPr>
          <w:b/>
        </w:rPr>
        <w:t xml:space="preserve">by</w:t>
      </w:r>
      <w:r>
        <w:rPr>
          <w:b/>
        </w:rPr>
        <w:t xml:space="preserve"> </w:t>
      </w:r>
      <w:r>
        <w:rPr>
          <w:b/>
        </w:rPr>
        <w:t xml:space="preserve">design</w:t>
      </w:r>
      <w:r>
        <w:t xml:space="preserve">:</w:t>
      </w:r>
      <w:r>
        <w:t xml:space="preserve"> </w:t>
      </w:r>
      <w:r>
        <w:t xml:space="preserve">algorithm</w:t>
      </w:r>
      <w:r>
        <w:t xml:space="preserve"> </w:t>
      </w:r>
      <w:r>
        <w:t xml:space="preserve">identifiers</w:t>
      </w:r>
      <w:r>
        <w:t xml:space="preserve"> </w:t>
      </w:r>
      <w:r>
        <w:t xml:space="preserve">travel</w:t>
      </w:r>
      <w:r>
        <w:t xml:space="preserve"> </w:t>
      </w:r>
      <w:r>
        <w:t xml:space="preserve">in</w:t>
      </w:r>
      <w:r>
        <w:t xml:space="preserve"> </w:t>
      </w:r>
      <w:r>
        <w:t xml:space="preserve">every</w:t>
      </w:r>
      <w:r>
        <w:t xml:space="preserve"> </w:t>
      </w:r>
      <w:r>
        <w:t xml:space="preserve">token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Trust</w:t>
      </w:r>
      <w:r>
        <w:t xml:space="preserve"> </w:t>
      </w:r>
      <w:r>
        <w:t xml:space="preserve">Registry,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token</w:t>
      </w:r>
      <w:r>
        <w:t xml:space="preserve"> </w:t>
      </w:r>
      <w:r>
        <w:t xml:space="preserve">header,</w:t>
      </w:r>
      <w:r>
        <w:t xml:space="preserve"> </w:t>
      </w:r>
      <w:r>
        <w:t xml:space="preserve">governs</w:t>
      </w:r>
      <w:r>
        <w:t xml:space="preserve"> </w:t>
      </w:r>
      <w:r>
        <w:t xml:space="preserve">algorithm</w:t>
      </w:r>
      <w:r>
        <w:t xml:space="preserve"> </w:t>
      </w:r>
      <w:r>
        <w:t xml:space="preserve">acceptance,</w:t>
      </w:r>
      <w:r>
        <w:t xml:space="preserve"> </w:t>
      </w:r>
      <w:r>
        <w:t xml:space="preserve">enabling</w:t>
      </w:r>
      <w:r>
        <w:t xml:space="preserve"> </w:t>
      </w:r>
      <w:r>
        <w:t xml:space="preserve">a</w:t>
      </w:r>
      <w:r>
        <w:t xml:space="preserve"> </w:t>
      </w:r>
      <w:r>
        <w:t xml:space="preserve">hybrid</w:t>
      </w:r>
      <w:r>
        <w:t xml:space="preserve"> </w:t>
      </w:r>
      <w:r>
        <w:t xml:space="preserve">classical/post-quantum</w:t>
      </w:r>
      <w:r>
        <w:t xml:space="preserve"> </w:t>
      </w:r>
      <w:r>
        <w:t xml:space="preserve">migration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flag</w:t>
      </w:r>
      <w:r>
        <w:t xml:space="preserve"> </w:t>
      </w:r>
      <w:r>
        <w:t xml:space="preserve">day.</w:t>
      </w:r>
      <w:r>
        <w:t xml:space="preserve"> </w:t>
      </w:r>
      <w:r>
        <w:t xml:space="preserve">We</w:t>
      </w:r>
      <w:r>
        <w:t xml:space="preserve"> </w:t>
      </w:r>
      <w:r>
        <w:t xml:space="preserve">report</w:t>
      </w:r>
      <w:r>
        <w:t xml:space="preserve"> </w:t>
      </w:r>
      <w:r>
        <w:t xml:space="preserve">a</w:t>
      </w:r>
      <w:r>
        <w:t xml:space="preserve"> </w:t>
      </w:r>
      <w:r>
        <w:t xml:space="preserve">working</w:t>
      </w:r>
      <w:r>
        <w:t xml:space="preserve"> </w:t>
      </w:r>
      <w:r>
        <w:t xml:space="preserve">reference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hardened</w:t>
      </w:r>
      <w:r>
        <w:t xml:space="preserve"> </w:t>
      </w:r>
      <w:r>
        <w:t xml:space="preserve">on</w:t>
      </w:r>
      <w:r>
        <w:t xml:space="preserve"> </w:t>
      </w:r>
      <w:r>
        <w:t xml:space="preserve">OpenBSD</w:t>
      </w:r>
      <w:r>
        <w:t xml:space="preserve"> </w:t>
      </w:r>
      <w:r>
        <w:t xml:space="preserve">(pledge/unveil,</w:t>
      </w:r>
      <w:r>
        <w:t xml:space="preserve"> </w:t>
      </w:r>
      <w:r>
        <w:t xml:space="preserve">privilege</w:t>
      </w:r>
      <w:r>
        <w:t xml:space="preserve"> </w:t>
      </w:r>
      <w:r>
        <w:t xml:space="preserve">separation),</w:t>
      </w:r>
      <w:r>
        <w:t xml:space="preserve"> </w:t>
      </w:r>
      <w:r>
        <w:t xml:space="preserve">a</w:t>
      </w:r>
      <w:r>
        <w:t xml:space="preserve"> </w:t>
      </w:r>
      <w:r>
        <w:t xml:space="preserve">live</w:t>
      </w:r>
      <w:r>
        <w:t xml:space="preserve"> </w:t>
      </w:r>
      <w:r>
        <w:t xml:space="preserve">two-party</w:t>
      </w:r>
      <w:r>
        <w:t xml:space="preserve"> </w:t>
      </w:r>
      <w:r>
        <w:t xml:space="preserve">FATF</w:t>
      </w:r>
      <w:r>
        <w:t xml:space="preserve"> </w:t>
      </w:r>
      <w:r>
        <w:t xml:space="preserve">Travel</w:t>
      </w:r>
      <w:r>
        <w:t xml:space="preserve"> </w:t>
      </w:r>
      <w:r>
        <w:t xml:space="preserve">Rule</w:t>
      </w:r>
      <w:r>
        <w:t xml:space="preserve"> </w:t>
      </w:r>
      <w:r>
        <w:t xml:space="preserve">deployment</w:t>
      </w:r>
      <w:r>
        <w:t xml:space="preserve"> </w:t>
      </w:r>
      <w:r>
        <w:t xml:space="preserve">carrying</w:t>
      </w:r>
      <w:r>
        <w:t xml:space="preserve"> </w:t>
      </w:r>
      <w:r>
        <w:t xml:space="preserve">a</w:t>
      </w:r>
      <w:r>
        <w:t xml:space="preserve"> </w:t>
      </w:r>
      <w:r>
        <w:t xml:space="preserve">payload-level</w:t>
      </w:r>
      <w:r>
        <w:t xml:space="preserve"> </w:t>
      </w:r>
      <w:r>
        <w:t xml:space="preserve">ZK</w:t>
      </w:r>
      <w:r>
        <w:t xml:space="preserve"> </w:t>
      </w:r>
      <w:r>
        <w:t xml:space="preserve">attestation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inter-VASP</w:t>
      </w:r>
      <w:r>
        <w:t xml:space="preserve"> </w:t>
      </w:r>
      <w:r>
        <w:t xml:space="preserve">Travel</w:t>
      </w:r>
      <w:r>
        <w:t xml:space="preserve"> </w:t>
      </w:r>
      <w:r>
        <w:t xml:space="preserve">Rule</w:t>
      </w:r>
      <w:r>
        <w:t xml:space="preserve"> </w:t>
      </w:r>
      <w:r>
        <w:t xml:space="preserve">Protocol,</w:t>
      </w:r>
      <w:r>
        <w:t xml:space="preserve"> </w:t>
      </w:r>
      <w:r>
        <w:t xml:space="preserve">measured</w:t>
      </w:r>
      <w:r>
        <w:t xml:space="preserve"> </w:t>
      </w:r>
      <w:r>
        <w:t xml:space="preserve">cryptographic</w:t>
      </w:r>
      <w:r>
        <w:t xml:space="preserve"> </w:t>
      </w:r>
      <w:r>
        <w:t xml:space="preserve">benchmarks</w:t>
      </w:r>
      <w:r>
        <w:t xml:space="preserve"> </w:t>
      </w:r>
      <w:r>
        <w:t xml:space="preserve">driving</w:t>
      </w:r>
      <w:r>
        <w:t xml:space="preserve"> </w:t>
      </w:r>
      <w:r>
        <w:t xml:space="preserve">the</w:t>
      </w:r>
      <w:r>
        <w:t xml:space="preserve"> </w:t>
      </w:r>
      <w:r>
        <w:t xml:space="preserve">primitive</w:t>
      </w:r>
      <w:r>
        <w:t xml:space="preserve"> </w:t>
      </w:r>
      <w:r>
        <w:t xml:space="preserve">choices</w:t>
      </w:r>
      <w:r>
        <w:t xml:space="preserve"> </w:t>
      </w:r>
      <w:r>
        <w:t xml:space="preserve">(Poseidon2</w:t>
      </w:r>
      <w:r>
        <w:t xml:space="preserve"> </w:t>
      </w:r>
      <w:r>
        <w:t xml:space="preserve">over</w:t>
      </w:r>
      <w:r>
        <w:t xml:space="preserve"> </w:t>
      </w:r>
      <w:r>
        <w:t xml:space="preserve">MiMC;</w:t>
      </w:r>
      <w:r>
        <w:t xml:space="preserve"> </w:t>
      </w:r>
      <w:r>
        <w:t xml:space="preserve">BN254</w:t>
      </w:r>
      <w:r>
        <w:t xml:space="preserve"> </w:t>
      </w:r>
      <w:r>
        <w:t xml:space="preserve">vs</w:t>
      </w:r>
      <w:r>
        <w:t xml:space="preserve"> </w:t>
      </w:r>
      <w:r>
        <w:t xml:space="preserve">BLS12-381;</w:t>
      </w:r>
      <w:r>
        <w:t xml:space="preserve"> </w:t>
      </w:r>
      <w:r>
        <w:t xml:space="preserve">Groth16</w:t>
      </w:r>
      <w:r>
        <w:t xml:space="preserve"> </w:t>
      </w:r>
      <w:r>
        <w:t xml:space="preserve">vs</w:t>
      </w:r>
      <w:r>
        <w:t xml:space="preserve"> </w:t>
      </w:r>
      <w:r>
        <w:t xml:space="preserve">PLONK),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CycloneDX</w:t>
      </w:r>
      <w:r>
        <w:t xml:space="preserve"> </w:t>
      </w:r>
      <w:r>
        <w:t xml:space="preserve">Cryptographic</w:t>
      </w:r>
      <w:r>
        <w:t xml:space="preserve"> </w:t>
      </w:r>
      <w:r>
        <w:t xml:space="preserve">Bill</w:t>
      </w:r>
      <w:r>
        <w:t xml:space="preserve"> </w:t>
      </w:r>
      <w:r>
        <w:t xml:space="preserve">of</w:t>
      </w:r>
      <w:r>
        <w:t xml:space="preserve"> </w:t>
      </w:r>
      <w:r>
        <w:t xml:space="preserve">Materials</w:t>
      </w:r>
      <w:r>
        <w:t xml:space="preserve"> </w:t>
      </w:r>
      <w:r>
        <w:t xml:space="preserve">aligned</w:t>
      </w:r>
      <w:r>
        <w:t xml:space="preserve"> </w:t>
      </w:r>
      <w:r>
        <w:t xml:space="preserve">to</w:t>
      </w:r>
      <w:r>
        <w:t xml:space="preserve"> </w:t>
      </w:r>
      <w:r>
        <w:t xml:space="preserve">US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</w:t>
      </w:r>
      <w:r>
        <w:t xml:space="preserve"> </w:t>
      </w:r>
      <w:r>
        <w:t xml:space="preserve">14409</w:t>
      </w:r>
      <w:r>
        <w:t xml:space="preserve"> </w:t>
      </w:r>
      <w:r>
        <w:t xml:space="preserve">(2026).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/>
        </w:rPr>
        <w:t xml:space="preserve">Working paper / preprint (v2 draft), deposited on Zenodo as</w:t>
      </w:r>
      <w:r>
        <w:rPr>
          <w:i/>
        </w:rPr>
        <w:t xml:space="preserve"> </w:t>
      </w:r>
      <w:r>
        <w:rPr>
          <w:rStyle w:val="VerbatimChar"/>
          <w:i/>
        </w:rPr>
        <w:t xml:space="preserve">spt-txn-framework-expanded-v2</w:t>
      </w:r>
      <w:r>
        <w:rPr>
          <w:i/>
        </w:rPr>
        <w:t xml:space="preserve"> </w:t>
      </w:r>
      <w:r>
        <w:rPr>
          <w:i/>
        </w:rPr>
        <w:t xml:space="preserve">(citable DOI). Existing preprints: 10.5281/zenodo.19299787 and 10.5281/zenodo.18917439. Companion to, and deliberately distinct in scope from, the IETF Internet-Draft</w:t>
      </w:r>
      <w:r>
        <w:rPr>
          <w:i/>
        </w:rPr>
        <w:t xml:space="preserve"> </w:t>
      </w:r>
      <w:r>
        <w:rPr>
          <w:rStyle w:val="VerbatimChar"/>
          <w:i/>
        </w:rPr>
        <w:t xml:space="preserve">draft-coetzee-oauth-spt-txn-tokens</w:t>
      </w:r>
      <w:r>
        <w:rPr>
          <w:i/>
        </w:rPr>
        <w:t xml:space="preserve">.</w:t>
      </w:r>
    </w:p>
    <w:p>
      <w:pPr>
        <w:pStyle w:val="BlockText"/>
      </w:pPr>
      <w:r>
        <w:t xml:space="preserve">Scope &amp; audience.</w:t>
      </w:r>
    </w:p>
    <w:p>
      <w:pPr>
        <w:pStyle w:val="BlockText"/>
      </w:pPr>
      <w:r>
        <w:t xml:space="preserve">This is the comprehensive</w:t>
      </w:r>
      <w:r>
        <w:t xml:space="preserve"> </w:t>
      </w:r>
      <w:r>
        <w:rPr>
          <w:b/>
        </w:rPr>
        <w:t xml:space="preserve">framework</w:t>
      </w:r>
      <w:r>
        <w:t xml:space="preserve"> </w:t>
      </w:r>
      <w:r>
        <w:t xml:space="preserve">paper (preprint / grant /</w:t>
      </w:r>
      <w:r>
        <w:t xml:space="preserve"> </w:t>
      </w:r>
      <w:r>
        <w:t xml:space="preserve">NIST-engagement audience), not the IETF Internet-Draft. The I-D</w:t>
      </w:r>
      <w:r>
        <w:t xml:space="preserve"> </w:t>
      </w:r>
      <w:r>
        <w:t xml:space="preserve">specifies only the transaction-token protocol; this paper covers the</w:t>
      </w:r>
      <w:r>
        <w:t xml:space="preserve"> </w:t>
      </w:r>
      <w:r>
        <w:t xml:space="preserve">full architecture, the design alternatives considered, the</w:t>
      </w:r>
      <w:r>
        <w:t xml:space="preserve"> </w:t>
      </w:r>
      <w:r>
        <w:t xml:space="preserve">cryptographic choices and their measured trade-offs, the post-quantum</w:t>
      </w:r>
      <w:r>
        <w:t xml:space="preserve"> </w:t>
      </w:r>
      <w:r>
        <w:t xml:space="preserve">migration plan, and the regulatory / standards context. Coined terms</w:t>
      </w:r>
      <w:r>
        <w:t xml:space="preserve"> </w:t>
      </w:r>
      <w:r>
        <w:t xml:space="preserve">are anchored to their base standards on first use (§10).</w:t>
      </w:r>
    </w:p>
    <w:p>
      <w:pPr>
        <w:pStyle w:val="Heading1"/>
      </w:pPr>
      <w:bookmarkStart w:id="20" w:name="introduction"/>
      <w:r>
        <w:t xml:space="preserve">1. Introduction</w:t>
      </w:r>
      <w:bookmarkEnd w:id="20"/>
    </w:p>
    <w:p>
      <w:pPr>
        <w:pStyle w:val="Heading2"/>
      </w:pPr>
      <w:bookmarkStart w:id="21" w:name="the-problem"/>
      <w:r>
        <w:t xml:space="preserve">1.1 The problem</w:t>
      </w:r>
      <w:bookmarkEnd w:id="21"/>
    </w:p>
    <w:p>
      <w:pPr>
        <w:pStyle w:val="FirstParagraph"/>
      </w:pPr>
      <w:r>
        <w:t xml:space="preserve">Three capabilities are each individually mature and collectively</w:t>
      </w:r>
      <w:r>
        <w:t xml:space="preserve"> </w:t>
      </w:r>
      <w:r>
        <w:t xml:space="preserve">unintegrated: attribute-based access control (ABAC) gives fine-grained,</w:t>
      </w:r>
      <w:r>
        <w:t xml:space="preserve"> </w:t>
      </w:r>
      <w:r>
        <w:t xml:space="preserve">policy-driven authorization but assumes a centralized, online policy</w:t>
      </w:r>
      <w:r>
        <w:t xml:space="preserve"> </w:t>
      </w:r>
      <w:r>
        <w:t xml:space="preserve">decision point; self-sovereign identity (SSI) and Verifiable Credentials</w:t>
      </w:r>
      <w:r>
        <w:t xml:space="preserve"> </w:t>
      </w:r>
      <w:r>
        <w:t xml:space="preserve">give user-controlled, privacy-preserving identity but no on-line policy</w:t>
      </w:r>
      <w:r>
        <w:t xml:space="preserve"> </w:t>
      </w:r>
      <w:r>
        <w:t xml:space="preserve">enforcement and no transaction binding; and capability/transaction</w:t>
      </w:r>
      <w:r>
        <w:t xml:space="preserve"> </w:t>
      </w:r>
      <w:r>
        <w:t xml:space="preserve">tokens (object-capability security, the OAuth Transaction Tokens work)</w:t>
      </w:r>
      <w:r>
        <w:t xml:space="preserve"> </w:t>
      </w:r>
      <w:r>
        <w:t xml:space="preserve">give scoped, delegable authority but carry no identity provenance and no</w:t>
      </w:r>
      <w:r>
        <w:t xml:space="preserve"> </w:t>
      </w:r>
      <w:r>
        <w:t xml:space="preserve">compliance semantics. No deployed system composes them into a single</w:t>
      </w:r>
      <w:r>
        <w:t xml:space="preserve"> </w:t>
      </w:r>
      <w:r>
        <w:t xml:space="preserve">chain that is simultaneously privacy-preserving, regulator-satisfying,</w:t>
      </w:r>
      <w:r>
        <w:t xml:space="preserve"> </w:t>
      </w:r>
      <w:r>
        <w:t xml:space="preserve">offline-verifiable, and accountable across organizational and agentic</w:t>
      </w:r>
      <w:r>
        <w:t xml:space="preserve"> </w:t>
      </w:r>
      <w:r>
        <w:t xml:space="preserve">boundaries.</w:t>
      </w:r>
    </w:p>
    <w:p>
      <w:pPr>
        <w:pStyle w:val="BodyText"/>
      </w:pPr>
      <w:r>
        <w:t xml:space="preserve">The cost of that gap is concrete. Repeated KYC / AML verification is a</w:t>
      </w:r>
      <w:r>
        <w:t xml:space="preserve"> </w:t>
      </w:r>
      <w:r>
        <w:t xml:space="preserve">multi-billion dollar annual tax with onboarding abandonment rates that</w:t>
      </w:r>
      <w:r>
        <w:t xml:space="preserve"> </w:t>
      </w:r>
      <w:r>
        <w:t xml:space="preserve">platforms quantify in the tens of percent. The PII accumulated to</w:t>
      </w:r>
      <w:r>
        <w:t xml:space="preserve"> </w:t>
      </w:r>
      <w:r>
        <w:t xml:space="preserve">satisfy it is a perpetual breach surface. And the model fails outright</w:t>
      </w:r>
      <w:r>
        <w:t xml:space="preserve"> </w:t>
      </w:r>
      <w:r>
        <w:t xml:space="preserve">for the agentic economy: when an AI agent transacts on a human’s behalf,</w:t>
      </w:r>
      <w:r>
        <w:t xml:space="preserve"> </w:t>
      </w:r>
      <w:r>
        <w:t xml:space="preserve">neither regulators nor counterparties can reconstruct who authorized</w:t>
      </w:r>
      <w:r>
        <w:t xml:space="preserve"> </w:t>
      </w:r>
      <w:r>
        <w:t xml:space="preserve">what, a direct obstacle to obligations such as EU AI Act Article 14</w:t>
      </w:r>
      <w:r>
        <w:t xml:space="preserve"> </w:t>
      </w:r>
      <w:r>
        <w:t xml:space="preserve">(effective human oversight), enforceable from August 2026.</w:t>
      </w:r>
    </w:p>
    <w:p>
      <w:pPr>
        <w:pStyle w:val="BodyText"/>
      </w:pPr>
      <w:r>
        <w:t xml:space="preserve">A fourth pressure is now statutory. US Executive Order 14409,</w:t>
      </w:r>
      <w:r>
        <w:t xml:space="preserve"> </w:t>
      </w:r>
      <w:r>
        <w:rPr>
          <w:i/>
        </w:rPr>
        <w:t xml:space="preserve">Securing</w:t>
      </w:r>
      <w:r>
        <w:rPr>
          <w:i/>
        </w:rPr>
        <w:t xml:space="preserve"> </w:t>
      </w:r>
      <w:r>
        <w:rPr>
          <w:i/>
        </w:rPr>
        <w:t xml:space="preserve">the Nation Against Advanced Cryptographic Attacks</w:t>
      </w:r>
      <w:r>
        <w:t xml:space="preserve"> </w:t>
      </w:r>
      <w:r>
        <w:t xml:space="preserve">(2026-06-22),</w:t>
      </w:r>
      <w:r>
        <w:t xml:space="preserve"> </w:t>
      </w:r>
      <w:r>
        <w:t xml:space="preserve">mandates federal migration to post-quantum cryptography (NIST FIPS</w:t>
      </w:r>
      <w:r>
        <w:t xml:space="preserve"> </w:t>
      </w:r>
      <w:r>
        <w:t xml:space="preserve">203/204/205), sets contractor deadlines (2030/2031), and directs CISA</w:t>
      </w:r>
      <w:r>
        <w:t xml:space="preserve"> </w:t>
      </w:r>
      <w:r>
        <w:t xml:space="preserve">and NIST to publish Cryptographic Bill of Materials (CBOM) guidance</w:t>
      </w:r>
      <w:r>
        <w:t xml:space="preserve"> </w:t>
      </w:r>
      <w:r>
        <w:t xml:space="preserve">within 270 days. Any authorization infrastructure built today must be</w:t>
      </w:r>
      <w:r>
        <w:t xml:space="preserve"> </w:t>
      </w:r>
      <w:r>
        <w:t xml:space="preserve">crypto-agile and inventory-able by construction.</w:t>
      </w:r>
    </w:p>
    <w:p>
      <w:pPr>
        <w:pStyle w:val="Heading2"/>
      </w:pPr>
      <w:bookmarkStart w:id="22" w:name="contributions"/>
      <w:r>
        <w:t xml:space="preserve">1.2 Contributions</w:t>
      </w:r>
      <w:bookmarkEnd w:id="22"/>
    </w:p>
    <w:p>
      <w:pPr>
        <w:pStyle w:val="FirstParagraph"/>
      </w:pPr>
      <w:r>
        <w:t xml:space="preserve">This paper makes the following contributions: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composed token chain</w:t>
      </w:r>
      <w:r>
        <w:t xml:space="preserve">, CAT (compliance attestation) → CT</w:t>
      </w:r>
      <w:r>
        <w:t xml:space="preserve"> </w:t>
      </w:r>
      <w:r>
        <w:t xml:space="preserve">(capability) → SPT-Txn (transaction), that unifies SSI credentials,</w:t>
      </w:r>
      <w:r>
        <w:t xml:space="preserve"> </w:t>
      </w:r>
      <w:r>
        <w:t xml:space="preserve">ABAC policy evaluation, and capability/transaction tokens, with an</w:t>
      </w:r>
      <w:r>
        <w:t xml:space="preserve"> </w:t>
      </w:r>
      <w:r>
        <w:t xml:space="preserve">explicit ABAC→TBAC boundary: policy is evaluated</w:t>
      </w:r>
      <w:r>
        <w:t xml:space="preserve"> </w:t>
      </w:r>
      <w:r>
        <w:rPr>
          <w:b/>
        </w:rPr>
        <w:t xml:space="preserve">once</w:t>
      </w:r>
      <w:r>
        <w:t xml:space="preserve"> </w:t>
      </w:r>
      <w:r>
        <w:t xml:space="preserve">at</w:t>
      </w:r>
      <w:r>
        <w:t xml:space="preserve"> </w:t>
      </w:r>
      <w:r>
        <w:t xml:space="preserve">issuance; thereafter every token is enforced cryptographically with</w:t>
      </w:r>
      <w:r>
        <w:t xml:space="preserve"> </w:t>
      </w:r>
      <w:r>
        <w:t xml:space="preserve">no policy engine consulted (offline-verifiable).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CAT + attribute model</w:t>
      </w:r>
      <w:r>
        <w:t xml:space="preserve"> </w:t>
      </w:r>
      <w:r>
        <w:t xml:space="preserve">(§2.3): a precise account of where</w:t>
      </w:r>
      <w:r>
        <w:t xml:space="preserve"> </w:t>
      </w:r>
      <w:r>
        <w:t xml:space="preserve">compliance attributes live (proven into the CAT, never disclosed),</w:t>
      </w:r>
      <w:r>
        <w:t xml:space="preserve"> </w:t>
      </w:r>
      <w:r>
        <w:t xml:space="preserve">including a</w:t>
      </w:r>
      <w:r>
        <w:t xml:space="preserve"> </w:t>
      </w:r>
      <w:r>
        <w:rPr>
          <w:b/>
        </w:rPr>
        <w:t xml:space="preserve">static / dynamic guardrail</w:t>
      </w:r>
      <w:r>
        <w:t xml:space="preserve"> </w:t>
      </w:r>
      <w:r>
        <w:t xml:space="preserve">that prevents</w:t>
      </w:r>
      <w:r>
        <w:t xml:space="preserve"> </w:t>
      </w:r>
      <w:r>
        <w:t xml:space="preserve">stale-compliance authorization for volatile attributes (AML-risk,</w:t>
      </w:r>
      <w:r>
        <w:t xml:space="preserve"> </w:t>
      </w:r>
      <w:r>
        <w:t xml:space="preserve">sanctions).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 immutable humanAnchor</w:t>
      </w:r>
      <w:r>
        <w:t xml:space="preserve">, a zkDID commitment propagated</w:t>
      </w:r>
      <w:r>
        <w:t xml:space="preserve"> </w:t>
      </w:r>
      <w:r>
        <w:t xml:space="preserve">unchanged across the chain, giving Sybil-resistant,</w:t>
      </w:r>
      <w:r>
        <w:t xml:space="preserve"> </w:t>
      </w:r>
      <w:r>
        <w:t xml:space="preserve">privacy-preserving human accountability for agentic action (EU AI</w:t>
      </w:r>
      <w:r>
        <w:t xml:space="preserve"> </w:t>
      </w:r>
      <w:r>
        <w:t xml:space="preserve">Act Art. 14).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zkDID and zkDNS</w:t>
      </w:r>
      <w:r>
        <w:t xml:space="preserve"> </w:t>
      </w:r>
      <w:r>
        <w:t xml:space="preserve">(§3, §4): zero-knowledge identity that breaks</w:t>
      </w:r>
      <w:r>
        <w:t xml:space="preserve"> </w:t>
      </w:r>
      <w:r>
        <w:t xml:space="preserve">the cross-verification correlation attack, and a two-layer</w:t>
      </w:r>
      <w:r>
        <w:t xml:space="preserve"> </w:t>
      </w:r>
      <w:r>
        <w:t xml:space="preserve">naming/discovery design (decentralized name→key binding; private</w:t>
      </w:r>
      <w:r>
        <w:t xml:space="preserve"> </w:t>
      </w:r>
      <w:r>
        <w:t xml:space="preserve">resolution) analysed against centralized DNS, DNSSEC, ENS, and</w:t>
      </w:r>
      <w:r>
        <w:t xml:space="preserve"> </w:t>
      </w:r>
      <w:r>
        <w:t xml:space="preserve">Handshake.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measured cryptographic design</w:t>
      </w:r>
      <w:r>
        <w:t xml:space="preserve"> </w:t>
      </w:r>
      <w:r>
        <w:t xml:space="preserve">(§5): empirical benchmarks on</w:t>
      </w:r>
      <w:r>
        <w:t xml:space="preserve"> </w:t>
      </w:r>
      <w:r>
        <w:t xml:space="preserve">the reference host driving the choices (Poseidon2 vs MiMC; BN254 vs</w:t>
      </w:r>
      <w:r>
        <w:t xml:space="preserve"> </w:t>
      </w:r>
      <w:r>
        <w:t xml:space="preserve">BLS12-381; Groth16 vs PLONK), a lifetime-triaged</w:t>
      </w:r>
      <w:r>
        <w:t xml:space="preserve"> </w:t>
      </w:r>
      <w:r>
        <w:rPr>
          <w:b/>
        </w:rPr>
        <w:t xml:space="preserve">hybrid</w:t>
      </w:r>
      <w:r>
        <w:rPr>
          <w:b/>
        </w:rPr>
        <w:t xml:space="preserve"> </w:t>
      </w:r>
      <w:r>
        <w:rPr>
          <w:b/>
        </w:rPr>
        <w:t xml:space="preserve">post-quantum migration</w:t>
      </w:r>
      <w:r>
        <w:t xml:space="preserve"> </w:t>
      </w:r>
      <w:r>
        <w:t xml:space="preserve">plan, and a CycloneDX CBOM aligned to</w:t>
      </w:r>
      <w:r>
        <w:t xml:space="preserve"> </w:t>
      </w:r>
      <w:r>
        <w:t xml:space="preserve">EO 14409.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working, hardened reference implementation</w:t>
      </w:r>
      <w:r>
        <w:t xml:space="preserve"> </w:t>
      </w:r>
      <w:r>
        <w:t xml:space="preserve">with a live,</w:t>
      </w:r>
      <w:r>
        <w:t xml:space="preserve"> </w:t>
      </w:r>
      <w:r>
        <w:t xml:space="preserve">two-party privacy-preserving FATF Travel Rule deployment (IVMS101 +</w:t>
      </w:r>
      <w:r>
        <w:t xml:space="preserve"> </w:t>
      </w:r>
      <w:r>
        <w:t xml:space="preserve">SD-JWT + ZK over the OpenVASP Travel Rule Protocol),</w:t>
      </w:r>
      <w:r>
        <w:t xml:space="preserve"> </w:t>
      </w:r>
      <w:r>
        <w:t xml:space="preserve">security-audited on OpenBSD.</w:t>
      </w:r>
    </w:p>
    <w:p>
      <w:pPr>
        <w:pStyle w:val="Heading2"/>
      </w:pPr>
      <w:bookmarkStart w:id="23" w:name="what-this-paper-is-not"/>
      <w:r>
        <w:t xml:space="preserve">1.3 What this paper is not</w:t>
      </w:r>
      <w:bookmarkEnd w:id="23"/>
    </w:p>
    <w:p>
      <w:pPr>
        <w:pStyle w:val="FirstParagraph"/>
      </w:pPr>
      <w:r>
        <w:t xml:space="preserve">It is not the protocol specification (that is the IETF I-D). It does not</w:t>
      </w:r>
      <w:r>
        <w:t xml:space="preserve"> </w:t>
      </w:r>
      <w:r>
        <w:t xml:space="preserve">claim post-quantum security today, it claims a defined, measured</w:t>
      </w:r>
      <w:r>
        <w:t xml:space="preserve"> </w:t>
      </w:r>
      <w:r>
        <w:t xml:space="preserve">migration path. It treats on-chain instantiations (e.g. a policy</w:t>
      </w:r>
      <w:r>
        <w:t xml:space="preserve"> </w:t>
      </w:r>
      <w:r>
        <w:t xml:space="preserve">expressed as an NFT) as</w:t>
      </w:r>
      <w:r>
        <w:t xml:space="preserve"> </w:t>
      </w:r>
      <w:r>
        <w:rPr>
          <w:b/>
        </w:rPr>
        <w:t xml:space="preserve">informative</w:t>
      </w:r>
      <w:r>
        <w:t xml:space="preserve"> </w:t>
      </w:r>
      <w:r>
        <w:t xml:space="preserve">deployment options, never as</w:t>
      </w:r>
      <w:r>
        <w:t xml:space="preserve"> </w:t>
      </w:r>
      <w:r>
        <w:t xml:space="preserve">normative or as tradeable assets, to remain clear of securities and</w:t>
      </w:r>
      <w:r>
        <w:t xml:space="preserve"> </w:t>
      </w:r>
      <w:r>
        <w:t xml:space="preserve">money-transmission classification (§9).</w:t>
      </w:r>
    </w:p>
    <w:p>
      <w:pPr>
        <w:pStyle w:val="Heading1"/>
      </w:pPr>
      <w:bookmarkStart w:id="24" w:name="architecture-and-the-token-chain"/>
      <w:r>
        <w:t xml:space="preserve">2. Architecture and the token chain</w:t>
      </w:r>
      <w:bookmarkEnd w:id="24"/>
    </w:p>
    <w:p>
      <w:pPr>
        <w:pStyle w:val="Heading2"/>
      </w:pPr>
      <w:bookmarkStart w:id="25" w:name="actors"/>
      <w:r>
        <w:t xml:space="preserve">2.1 Actors</w:t>
      </w:r>
      <w:bookmarkEnd w:id="25"/>
    </w:p>
    <w:p>
      <w:pPr>
        <w:pStyle w:val="FirstParagraph"/>
      </w:pPr>
      <w:r>
        <w:t xml:space="preserve">Five roles: the</w:t>
      </w:r>
      <w:r>
        <w:t xml:space="preserve"> </w:t>
      </w:r>
      <w:r>
        <w:rPr>
          <w:b/>
        </w:rPr>
        <w:t xml:space="preserve">user</w:t>
      </w:r>
      <w:r>
        <w:t xml:space="preserve"> </w:t>
      </w:r>
      <w:r>
        <w:t xml:space="preserve">(a person, or an AI agent acting for one); the</w:t>
      </w:r>
      <w:r>
        <w:t xml:space="preserve"> </w:t>
      </w:r>
      <w:r>
        <w:rPr>
          <w:b/>
        </w:rPr>
        <w:t xml:space="preserve">KYC/compliance provider</w:t>
      </w:r>
      <w:r>
        <w:t xml:space="preserve"> </w:t>
      </w:r>
      <w:r>
        <w:t xml:space="preserve">(a regulated issuer of CATs); the</w:t>
      </w:r>
      <w:r>
        <w:t xml:space="preserve"> </w:t>
      </w:r>
      <w:r>
        <w:rPr>
          <w:b/>
        </w:rPr>
        <w:t xml:space="preserve">platform</w:t>
      </w:r>
      <w:r>
        <w:t xml:space="preserve"> </w:t>
      </w:r>
      <w:r>
        <w:t xml:space="preserve">(bank, exchange, RWA venue, AI operator, the relying party</w:t>
      </w:r>
      <w:r>
        <w:t xml:space="preserve"> </w:t>
      </w:r>
      <w:r>
        <w:t xml:space="preserve">and CT issuer); the</w:t>
      </w:r>
      <w:r>
        <w:t xml:space="preserve"> </w:t>
      </w:r>
      <w:r>
        <w:rPr>
          <w:b/>
        </w:rPr>
        <w:t xml:space="preserve">Trust Registry</w:t>
      </w:r>
      <w:r>
        <w:t xml:space="preserve"> </w:t>
      </w:r>
      <w:r>
        <w:t xml:space="preserve">(the authority on which issuers</w:t>
      </w:r>
      <w:r>
        <w:t xml:space="preserve"> </w:t>
      </w:r>
      <w:r>
        <w:t xml:space="preserve">and algorithms are accepted); and</w:t>
      </w:r>
      <w:r>
        <w:t xml:space="preserve"> </w:t>
      </w:r>
      <w:r>
        <w:rPr>
          <w:b/>
        </w:rPr>
        <w:t xml:space="preserve">SPT-Txn</w:t>
      </w:r>
      <w:r>
        <w:t xml:space="preserve"> </w:t>
      </w:r>
      <w:r>
        <w:t xml:space="preserve">as neutral infrastructure</w:t>
      </w:r>
      <w:r>
        <w:t xml:space="preserve"> </w:t>
      </w:r>
      <w:r>
        <w:t xml:space="preserve">in the middle. No party holds the user’s PII except the issuing KYC</w:t>
      </w:r>
      <w:r>
        <w:t xml:space="preserve"> </w:t>
      </w:r>
      <w:r>
        <w:t xml:space="preserve">provider, under a lawful-access escrow (§5, §9).</w:t>
      </w:r>
    </w:p>
    <w:p>
      <w:pPr>
        <w:pStyle w:val="Heading2"/>
      </w:pPr>
      <w:bookmarkStart w:id="26" w:name="the-three-tokens-locked-vocabulary"/>
      <w:r>
        <w:t xml:space="preserve">2.2 The three tokens (locked vocabulary)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CAT, Compliance Attestation Token.</w:t>
      </w:r>
      <w:r>
        <w:t xml:space="preserve"> </w:t>
      </w:r>
      <w:r>
        <w:t xml:space="preserve">A W3C Verifiable</w:t>
      </w:r>
      <w:r>
        <w:t xml:space="preserve"> </w:t>
      </w:r>
      <w:r>
        <w:t xml:space="preserve">Credential [VC-DATA-MODEL], serialized as an SD-JWT VC</w:t>
      </w:r>
      <w:r>
        <w:t xml:space="preserve"> </w:t>
      </w:r>
      <w:r>
        <w:t xml:space="preserve">[SD-JWT-VC], issued once by a KYC provider after verifying the</w:t>
      </w:r>
      <w:r>
        <w:t xml:space="preserve"> </w:t>
      </w:r>
      <w:r>
        <w:t xml:space="preserve">user’s attributes, bound to the user’s zkDID. The user holds it and</w:t>
      </w:r>
      <w:r>
        <w:t xml:space="preserve"> </w:t>
      </w:r>
      <w:r>
        <w:t xml:space="preserve">reuses it across platforms with no document re-submission.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CT, Capability Token.</w:t>
      </w:r>
      <w:r>
        <w:t xml:space="preserve"> </w:t>
      </w:r>
      <w:r>
        <w:t xml:space="preserve">A capability token (object-capability</w:t>
      </w:r>
      <w:r>
        <w:t xml:space="preserve"> </w:t>
      </w:r>
      <w:r>
        <w:t xml:space="preserve">lineage; the draft’s primary primitive) conveying a scope-bounded</w:t>
      </w:r>
      <w:r>
        <w:t xml:space="preserve"> </w:t>
      </w:r>
      <w:r>
        <w:t xml:space="preserve">authorization, issued by a platform when a zero-knowledge proof of</w:t>
      </w:r>
      <w:r>
        <w:t xml:space="preserve"> </w:t>
      </w:r>
      <w:r>
        <w:t xml:space="preserve">the CAT satisfies the platform’s policy. A</w:t>
      </w:r>
      <w:r>
        <w:t xml:space="preserve"> </w:t>
      </w:r>
      <w:r>
        <w:rPr>
          <w:i/>
        </w:rPr>
        <w:t xml:space="preserve">root</w:t>
      </w:r>
      <w:r>
        <w:t xml:space="preserve"> </w:t>
      </w:r>
      <w:r>
        <w:t xml:space="preserve">CT sets the</w:t>
      </w:r>
      <w:r>
        <w:t xml:space="preserve"> </w:t>
      </w:r>
      <w:r>
        <w:t xml:space="preserve">maximum scope;</w:t>
      </w:r>
      <w:r>
        <w:t xml:space="preserve"> </w:t>
      </w:r>
      <w:r>
        <w:rPr>
          <w:i/>
        </w:rPr>
        <w:t xml:space="preserve">delegated</w:t>
      </w:r>
      <w:r>
        <w:t xml:space="preserve"> </w:t>
      </w:r>
      <w:r>
        <w:t xml:space="preserve">CTs (e.g. to an agent) are strict subsets</w:t>
      </w:r>
      <w:r>
        <w:t xml:space="preserve"> </w:t>
      </w:r>
      <w:r>
        <w:t xml:space="preserve">with bounded delegation depth, carrying the humanAnchor forward.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SPT-Txn token.</w:t>
      </w:r>
      <w:r>
        <w:t xml:space="preserve"> </w:t>
      </w:r>
      <w:r>
        <w:t xml:space="preserve">A transaction token [TXN-TOKENS] bound to one</w:t>
      </w:r>
      <w:r>
        <w:t xml:space="preserve"> </w:t>
      </w:r>
      <w:r>
        <w:t xml:space="preserve">transaction context and sender-constrained per DPoP [RFC9449], ≈30</w:t>
      </w:r>
      <w:r>
        <w:t xml:space="preserve"> </w:t>
      </w:r>
      <w:r>
        <w:t xml:space="preserve">s lifetime, carrying the Travel Rule attestation where applicable.</w:t>
      </w:r>
      <w:r>
        <w:t xml:space="preserve"> </w:t>
      </w:r>
      <w:r>
        <w:t xml:space="preserve">The token actually presented at the resource.</w:t>
      </w:r>
    </w:p>
    <w:p>
      <w:pPr>
        <w:pStyle w:val="Heading2"/>
      </w:pPr>
      <w:bookmarkStart w:id="27" w:name="the-cat-attribute-model"/>
      <w:r>
        <w:t xml:space="preserve">2.3 The CAT + attribute model</w:t>
      </w:r>
      <w:bookmarkEnd w:id="27"/>
    </w:p>
    <w:p>
      <w:pPr>
        <w:pStyle w:val="FirstParagraph"/>
      </w:pPr>
      <w:r>
        <w:t xml:space="preserve">Attributes are</w:t>
      </w:r>
      <w:r>
        <w:t xml:space="preserve"> </w:t>
      </w:r>
      <w:r>
        <w:rPr>
          <w:b/>
        </w:rPr>
        <w:t xml:space="preserve">inputs to</w:t>
      </w:r>
      <w:r>
        <w:t xml:space="preserve"> </w:t>
      </w:r>
      <w:r>
        <w:t xml:space="preserve">the CAT, not its contents. KYC level,</w:t>
      </w:r>
      <w:r>
        <w:t xml:space="preserve"> </w:t>
      </w:r>
      <w:r>
        <w:t xml:space="preserve">jurisdiction, and accredited/eligibility status (durable) are verified</w:t>
      </w:r>
      <w:r>
        <w:t xml:space="preserve"> </w:t>
      </w:r>
      <w:r>
        <w:t xml:space="preserve">once and bound at CAT issuance; AML-risk and sanctions status (volatile)</w:t>
      </w:r>
      <w:r>
        <w:t xml:space="preserve"> </w:t>
      </w:r>
      <w:r>
        <w:t xml:space="preserve">are sourced from a DID-anchored attribute oracle. The CAT carries</w:t>
      </w:r>
      <w:r>
        <w:t xml:space="preserve"> </w:t>
      </w:r>
      <w:r>
        <w:rPr>
          <w:i/>
        </w:rPr>
        <w:t xml:space="preserve">selectively-disclosable compliance claims and proofs that policy is</w:t>
      </w:r>
      <w:r>
        <w:rPr>
          <w:i/>
        </w:rPr>
        <w:t xml:space="preserve"> </w:t>
      </w:r>
      <w:r>
        <w:rPr>
          <w:i/>
        </w:rPr>
        <w:t xml:space="preserve">satisfied, never the raw values</w:t>
      </w:r>
      <w:r>
        <w:t xml:space="preserve">.</w:t>
      </w:r>
    </w:p>
    <w:p>
      <w:pPr>
        <w:pStyle w:val="BodyText"/>
      </w:pPr>
      <w:r>
        <w:rPr>
          <w:b/>
        </w:rPr>
        <w:t xml:space="preserve">Static / dynamic guardrail.</w:t>
      </w:r>
      <w:r>
        <w:t xml:space="preserve"> </w:t>
      </w:r>
      <w:r>
        <w:t xml:space="preserve">Durable attributes are bound at CAT</w:t>
      </w:r>
      <w:r>
        <w:t xml:space="preserve"> </w:t>
      </w:r>
      <w:r>
        <w:t xml:space="preserve">issuance. Volatile attributes MUST NOT be frozen into the long-lived</w:t>
      </w:r>
      <w:r>
        <w:t xml:space="preserve"> </w:t>
      </w:r>
      <w:r>
        <w:t xml:space="preserve">CAT; they are re-proven at CT issuance and again at SPT-Txn minting</w:t>
      </w:r>
      <w:r>
        <w:t xml:space="preserve"> </w:t>
      </w:r>
      <w:r>
        <w:t xml:space="preserve">against the oracle’s committed state, under a policy maximum-proof-age.</w:t>
      </w:r>
      <w:r>
        <w:t xml:space="preserve"> </w:t>
      </w:r>
      <w:r>
        <w:t xml:space="preserve">This yields real-time revocation by updating the feed without revoking</w:t>
      </w:r>
      <w:r>
        <w:t xml:space="preserve"> </w:t>
      </w:r>
      <w:r>
        <w:t xml:space="preserve">the credential, and closes the stale-compliance hole (a now-sanctioned</w:t>
      </w:r>
      <w:r>
        <w:t xml:space="preserve"> </w:t>
      </w:r>
      <w:r>
        <w:t xml:space="preserve">party holding a still-valid capability).</w:t>
      </w:r>
    </w:p>
    <w:p>
      <w:pPr>
        <w:pStyle w:val="BodyText"/>
      </w:pPr>
      <w:r>
        <w:t xml:space="preserve">The flow: KYC issues the CAT → the platform’s PDP evaluates a ZK proof</w:t>
      </w:r>
      <w:r>
        <w:t xml:space="preserve"> </w:t>
      </w:r>
      <w:r>
        <w:t xml:space="preserve">of the CAT against a composable, jurisdiction-aware</w:t>
      </w:r>
      <w:r>
        <w:t xml:space="preserve"> </w:t>
      </w:r>
      <w:r>
        <w:rPr>
          <w:b/>
        </w:rPr>
        <w:t xml:space="preserve">policy object</w:t>
      </w:r>
      <w:r>
        <w:t xml:space="preserve"> </w:t>
      </w:r>
      <w:r>
        <w:t xml:space="preserve">(the ABAC→TBAC boundary) → a scope-bounded CT is issued in milliseconds</w:t>
      </w:r>
      <w:r>
        <w:t xml:space="preserve"> </w:t>
      </w:r>
      <w:r>
        <w:t xml:space="preserve">→ an agent receives a delegated CT carrying the humanAnchor → each</w:t>
      </w:r>
      <w:r>
        <w:t xml:space="preserve"> </w:t>
      </w:r>
      <w:r>
        <w:t xml:space="preserve">action emits an SPT-Txn token → all recorded to a tamper-evident audit</w:t>
      </w:r>
      <w:r>
        <w:t xml:space="preserve"> </w:t>
      </w:r>
      <w:r>
        <w:t xml:space="preserve">trail. (Full diagram and term definitions:</w:t>
      </w:r>
      <w:r>
        <w:t xml:space="preserve"> </w:t>
      </w:r>
      <w:r>
        <w:rPr>
          <w:rStyle w:val="VerbatimChar"/>
        </w:rPr>
        <w:t xml:space="preserve">docs/GLOSSARY.md</w:t>
      </w:r>
      <w:r>
        <w:t xml:space="preserve">.)</w:t>
      </w:r>
    </w:p>
    <w:p>
      <w:pPr>
        <w:pStyle w:val="Heading2"/>
      </w:pPr>
      <w:bookmarkStart w:id="28" w:name="deployment-targets-blockchain-agnostic"/>
      <w:r>
        <w:t xml:space="preserve">2.4 Deployment targets (blockchain-agnostic)</w:t>
      </w:r>
      <w:bookmarkEnd w:id="28"/>
    </w:p>
    <w:p>
      <w:pPr>
        <w:pStyle w:val="FirstParagraph"/>
      </w:pPr>
      <w:r>
        <w:t xml:space="preserve">The framework binds no logic to a specific ledger; a ledger adapter</w:t>
      </w:r>
      <w:r>
        <w:t xml:space="preserve"> </w:t>
      </w:r>
      <w:r>
        <w:t xml:space="preserve">abstracts the anchoring of attestations, audit roots, and registry</w:t>
      </w:r>
      <w:r>
        <w:t xml:space="preserve"> </w:t>
      </w:r>
      <w:r>
        <w:t xml:space="preserve">state, so a chain is a</w:t>
      </w:r>
      <w:r>
        <w:t xml:space="preserve"> </w:t>
      </w:r>
      <w:r>
        <w:rPr>
          <w:i/>
        </w:rPr>
        <w:t xml:space="preserve">target</w:t>
      </w:r>
      <w:r>
        <w:t xml:space="preserve">, never a dependency. Deployment targets</w:t>
      </w:r>
      <w:r>
        <w:t xml:space="preserve"> </w:t>
      </w:r>
      <w:r>
        <w:t xml:space="preserve">include the</w:t>
      </w:r>
      <w:r>
        <w:t xml:space="preserve"> </w:t>
      </w:r>
      <w:r>
        <w:rPr>
          <w:b/>
        </w:rPr>
        <w:t xml:space="preserve">XRP Ledger (XRPL)</w:t>
      </w:r>
      <w:r>
        <w:t xml:space="preserve">, the primary integration and grant</w:t>
      </w:r>
      <w:r>
        <w:t xml:space="preserve"> </w:t>
      </w:r>
      <w:r>
        <w:t xml:space="preserve">target, where SPT-Txn complements XRPL’s on-ledger Credentials/DID with</w:t>
      </w:r>
      <w:r>
        <w:t xml:space="preserve"> </w:t>
      </w:r>
      <w:r>
        <w:t xml:space="preserve">this off-ledger privacy and FATF Travel Rule layer and anchors audit</w:t>
      </w:r>
      <w:r>
        <w:t xml:space="preserve"> </w:t>
      </w:r>
      <w:r>
        <w:t xml:space="preserve">roots to the ledger, alongside EVM-compatible chains,</w:t>
      </w:r>
      <w:r>
        <w:t xml:space="preserve"> </w:t>
      </w:r>
      <w:r>
        <w:rPr>
          <w:b/>
        </w:rPr>
        <w:t xml:space="preserve">Hedera</w:t>
      </w:r>
      <w:r>
        <w:t xml:space="preserve"> </w:t>
      </w:r>
      <w:r>
        <w:t xml:space="preserve">(Consensus Service for the tamper-evident audit trail), XDC (RWA and</w:t>
      </w:r>
      <w:r>
        <w:t xml:space="preserve"> </w:t>
      </w:r>
      <w:r>
        <w:t xml:space="preserve">trade finance), Algorand, and Substrate parachains. No native token is</w:t>
      </w:r>
      <w:r>
        <w:t xml:space="preserve"> </w:t>
      </w:r>
      <w:r>
        <w:t xml:space="preserve">introduced on any of them; the framework’s revenue and trust models do</w:t>
      </w:r>
      <w:r>
        <w:t xml:space="preserve"> </w:t>
      </w:r>
      <w:r>
        <w:t xml:space="preserve">not depend on one.</w:t>
      </w:r>
    </w:p>
    <w:p>
      <w:pPr>
        <w:pStyle w:val="Heading1"/>
      </w:pPr>
      <w:bookmarkStart w:id="29" w:name="X02e1873b8602c1192b8179727aea6a58830d4a0"/>
      <w:r>
        <w:t xml:space="preserve">3. zkDID: zero-knowledge decentralized identity</w:t>
      </w:r>
      <w:bookmarkEnd w:id="29"/>
    </w:p>
    <w:p>
      <w:pPr>
        <w:pStyle w:val="Heading2"/>
      </w:pPr>
      <w:bookmarkStart w:id="30" w:name="the-correlation-problem"/>
      <w:r>
        <w:t xml:space="preserve">3.1 The correlation problem</w:t>
      </w:r>
      <w:bookmarkEnd w:id="30"/>
    </w:p>
    <w:p>
      <w:pPr>
        <w:pStyle w:val="FirstParagraph"/>
      </w:pPr>
      <w:r>
        <w:t xml:space="preserve">A conventional Decentralized Identifier [DID-CORE] is revealed during</w:t>
      </w:r>
      <w:r>
        <w:t xml:space="preserve"> </w:t>
      </w:r>
      <w:r>
        <w:t xml:space="preserve">presentation: even when attributes are proven in zero knowledge, the</w:t>
      </w:r>
      <w:r>
        <w:t xml:space="preserve"> </w:t>
      </w:r>
      <w:r>
        <w:t xml:space="preserve">verifier learns</w:t>
      </w:r>
      <w:r>
        <w:t xml:space="preserve"> </w:t>
      </w:r>
      <w:r>
        <w:rPr>
          <w:i/>
        </w:rPr>
        <w:t xml:space="preserve">which DID</w:t>
      </w:r>
      <w:r>
        <w:t xml:space="preserve"> </w:t>
      </w:r>
      <w:r>
        <w:t xml:space="preserve">is asserting them. That identifier is a</w:t>
      </w:r>
      <w:r>
        <w:t xml:space="preserve"> </w:t>
      </w:r>
      <w:r>
        <w:t xml:space="preserve">correlation handle, it links a subject’s activity across verifications,</w:t>
      </w:r>
      <w:r>
        <w:t xml:space="preserve"> </w:t>
      </w:r>
      <w:r>
        <w:t xml:space="preserve">platforms, and time, reconstituting the surveillance surface that</w:t>
      </w:r>
      <w:r>
        <w:t xml:space="preserve"> </w:t>
      </w:r>
      <w:r>
        <w:t xml:space="preserve">selective disclosure was meant to remove. For a system that must satisfy</w:t>
      </w:r>
      <w:r>
        <w:t xml:space="preserve"> </w:t>
      </w:r>
      <w:r>
        <w:t xml:space="preserve">data-minimization duties (e.g. GDPR) while proving regulated facts, a</w:t>
      </w:r>
      <w:r>
        <w:t xml:space="preserve"> </w:t>
      </w:r>
      <w:r>
        <w:t xml:space="preserve">stable, linkable identifier in every interaction is a liability.</w:t>
      </w:r>
    </w:p>
    <w:p>
      <w:pPr>
        <w:pStyle w:val="Heading2"/>
      </w:pPr>
      <w:bookmarkStart w:id="31" w:name="the-interim-construction"/>
      <w:r>
        <w:t xml:space="preserve">3.2 The interim construction</w:t>
      </w:r>
      <w:bookmarkEnd w:id="31"/>
    </w:p>
    <w:p>
      <w:pPr>
        <w:pStyle w:val="FirstParagraph"/>
      </w:pPr>
      <w:r>
        <w:t xml:space="preserve">SPT-Txn’s interim zkDID, implemented in the reference POC, is a</w:t>
      </w:r>
      <w:r>
        <w:t xml:space="preserve"> </w:t>
      </w:r>
      <w:r>
        <w:t xml:space="preserve">hiding-and-binding commitment used as the</w:t>
      </w:r>
      <w:r>
        <w:t xml:space="preserve"> </w:t>
      </w:r>
      <w:r>
        <w:rPr>
          <w:b/>
        </w:rPr>
        <w:t xml:space="preserve">humanAnchor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humanAnchor = H(identity_material, randomness)   over BN254</w:t>
      </w:r>
    </w:p>
    <w:p>
      <w:pPr>
        <w:pStyle w:val="FirstParagraph"/>
      </w:pPr>
      <w:r>
        <w:t xml:space="preserve">where H is the shared ZK-friendly hash (§5.2, Poseidon2), computed</w:t>
      </w:r>
      <w:r>
        <w:t xml:space="preserve"> </w:t>
      </w:r>
      <w:r>
        <w:t xml:space="preserve">natively and proven in-circuit by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function, so the token’s</w:t>
      </w:r>
      <w:r>
        <w:t xml:space="preserve"> </w:t>
      </w:r>
      <w:r>
        <w:t xml:space="preserve">humanAnchor is exactly the value a holder proves knowledge of, not a</w:t>
      </w:r>
      <w:r>
        <w:t xml:space="preserve"> </w:t>
      </w:r>
      <w:r>
        <w:t xml:space="preserve">separate digest.</w:t>
      </w:r>
      <w:r>
        <w:t xml:space="preserve"> </w:t>
      </w:r>
      <w:r>
        <w:rPr>
          <w:b/>
        </w:rPr>
        <w:t xml:space="preserve">Fresh randomness is drawn per CAT issuance</w:t>
      </w:r>
      <w:r>
        <w:t xml:space="preserve">, so a</w:t>
      </w:r>
      <w:r>
        <w:t xml:space="preserve"> </w:t>
      </w:r>
      <w:r>
        <w:t xml:space="preserve">subject’s commitments are unlinkable across tokens; the commitment</w:t>
      </w:r>
      <w:r>
        <w:t xml:space="preserve"> </w:t>
      </w:r>
      <w:r>
        <w:t xml:space="preserve">circuit proves knowledge of</w:t>
      </w:r>
      <w:r>
        <w:t xml:space="preserve"> </w:t>
      </w:r>
      <w:r>
        <w:rPr>
          <w:rStyle w:val="VerbatimChar"/>
        </w:rPr>
        <w:t xml:space="preserve">(identity_material, randomness)</w:t>
      </w:r>
      <w:r>
        <w:t xml:space="preserve"> </w:t>
      </w:r>
      <w:r>
        <w:t xml:space="preserve">behind</w:t>
      </w:r>
      <w:r>
        <w:t xml:space="preserve"> </w:t>
      </w:r>
      <w:r>
        <w:t xml:space="preserve">the public anchor without revealing either. This is the</w:t>
      </w:r>
      <w:r>
        <w:t xml:space="preserve"> </w:t>
      </w:r>
      <w:r>
        <w:t xml:space="preserve">algebraic-commitment / anonymous-credential lineage (Pedersen</w:t>
      </w:r>
      <w:r>
        <w:t xml:space="preserve"> </w:t>
      </w:r>
      <w:r>
        <w:t xml:space="preserve">commitments; BBS+; AnonCreds; zk-cred constructions), specialised to a</w:t>
      </w:r>
      <w:r>
        <w:t xml:space="preserve"> </w:t>
      </w:r>
      <w:r>
        <w:t xml:space="preserve">single accountable-human anchor that propagates immutably from CAT</w:t>
      </w:r>
      <w:r>
        <w:t xml:space="preserve"> </w:t>
      </w:r>
      <w:r>
        <w:t xml:space="preserve">through CT to SPT-Txn. The interim is self-sufficient, it delivers the</w:t>
      </w:r>
      <w:r>
        <w:t xml:space="preserve"> </w:t>
      </w:r>
      <w:r>
        <w:t xml:space="preserve">essential privacy property using only the project’s own primitives, with</w:t>
      </w:r>
      <w:r>
        <w:t xml:space="preserve"> </w:t>
      </w:r>
      <w:r>
        <w:t xml:space="preserve">no external dependency, though in the POC the identity material is a</w:t>
      </w:r>
      <w:r>
        <w:t xml:space="preserve"> </w:t>
      </w:r>
      <w:r>
        <w:t xml:space="preserve">deterministic test principal; production binds it to a verified</w:t>
      </w:r>
      <w:r>
        <w:t xml:space="preserve"> </w:t>
      </w:r>
      <w:r>
        <w:t xml:space="preserve">biometric uniqueness proof (§3.5).</w:t>
      </w:r>
    </w:p>
    <w:p>
      <w:pPr>
        <w:pStyle w:val="Heading2"/>
      </w:pPr>
      <w:bookmarkStart w:id="32" w:name="X29f5320069b3d6ef8825aa775d8a778f95e6702"/>
      <w:r>
        <w:t xml:space="preserve">3.3 Identity-method-agnostic: the adapter and the .zkdid production layer</w:t>
      </w:r>
      <w:bookmarkEnd w:id="32"/>
    </w:p>
    <w:p>
      <w:pPr>
        <w:pStyle w:val="FirstParagraph"/>
      </w:pPr>
      <w:r>
        <w:t xml:space="preserve">What the interim does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provide is the full DID-method apparatus: a</w:t>
      </w:r>
      <w:r>
        <w:t xml:space="preserve"> </w:t>
      </w:r>
      <w:r>
        <w:rPr>
          <w:rStyle w:val="VerbatimChar"/>
        </w:rPr>
        <w:t xml:space="preserve">did:zkdid:</w:t>
      </w:r>
      <w:r>
        <w:t xml:space="preserve"> </w:t>
      </w:r>
      <w:r>
        <w:t xml:space="preserve">identifier, document, and resolution; issuer-authorised</w:t>
      </w:r>
      <w:r>
        <w:t xml:space="preserve"> </w:t>
      </w:r>
      <w:r>
        <w:t xml:space="preserve">binding as a method (in the POC this is handled separately by the Trust</w:t>
      </w:r>
      <w:r>
        <w:t xml:space="preserve"> </w:t>
      </w:r>
      <w:r>
        <w:t xml:space="preserve">Registry, §7); and a governed naming layer. These are supplied in</w:t>
      </w:r>
      <w:r>
        <w:t xml:space="preserve"> </w:t>
      </w:r>
      <w:r>
        <w:t xml:space="preserve">production by</w:t>
      </w:r>
      <w:r>
        <w:t xml:space="preserve"> </w:t>
      </w:r>
      <w:r>
        <w:rPr>
          <w:b/>
        </w:rPr>
        <w:t xml:space="preserve">Toby Bolton’s</w:t>
      </w:r>
      <w:r>
        <w:t xml:space="preserve"> </w:t>
      </w:r>
      <w:r>
        <w:rPr>
          <w:rStyle w:val="VerbatimChar"/>
        </w:rPr>
        <w:t xml:space="preserve">.zkdid</w:t>
      </w:r>
      <w:r>
        <w:t xml:space="preserve"> </w:t>
      </w:r>
      <w:r>
        <w:rPr>
          <w:b/>
        </w:rPr>
        <w:t xml:space="preserve">/</w:t>
      </w:r>
      <w:r>
        <w:t xml:space="preserve"> </w:t>
      </w:r>
      <w:r>
        <w:rPr>
          <w:rStyle w:val="VerbatimChar"/>
        </w:rPr>
        <w:t xml:space="preserve">.zkdns</w:t>
      </w:r>
      <w:r>
        <w:t xml:space="preserve"> </w:t>
      </w:r>
      <w:r>
        <w:rPr>
          <w:b/>
        </w:rPr>
        <w:t xml:space="preserve">infrastructure</w:t>
      </w:r>
      <w:r>
        <w:t xml:space="preserve">, the intended zero-knowledge identity and naming</w:t>
      </w:r>
      <w:r>
        <w:t xml:space="preserve"> </w:t>
      </w:r>
      <w:r>
        <w:t xml:space="preserve">provider, with which SPT-Txn integrates.</w:t>
      </w:r>
    </w:p>
    <w:p>
      <w:pPr>
        <w:pStyle w:val="BodyText"/>
      </w:pPr>
      <w:r>
        <w:t xml:space="preserve">Crucially, SPT-Txn treats zkDID as an</w:t>
      </w:r>
      <w:r>
        <w:t xml:space="preserve"> </w:t>
      </w:r>
      <w:r>
        <w:rPr>
          <w:b/>
        </w:rPr>
        <w:t xml:space="preserve">interface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 → prove → verify → bind</w:t>
      </w:r>
      <w:r>
        <w:t xml:space="preserve">, not a hard dependency. The interim</w:t>
      </w:r>
      <w:r>
        <w:t xml:space="preserve"> </w:t>
      </w:r>
      <w:r>
        <w:t xml:space="preserve">commitment is one implementation of that interface;</w:t>
      </w:r>
      <w:r>
        <w:t xml:space="preserve"> </w:t>
      </w:r>
      <w:r>
        <w:rPr>
          <w:rStyle w:val="VerbatimChar"/>
        </w:rPr>
        <w:t xml:space="preserve">.zkdid</w:t>
      </w:r>
      <w:r>
        <w:t xml:space="preserve"> </w:t>
      </w:r>
      <w:r>
        <w:t xml:space="preserve">is the</w:t>
      </w:r>
      <w:r>
        <w:t xml:space="preserve"> </w:t>
      </w:r>
      <w:r>
        <w:t xml:space="preserve">production implementation, adopted behind the same interface with no</w:t>
      </w:r>
      <w:r>
        <w:t xml:space="preserve"> </w:t>
      </w:r>
      <w:r>
        <w:t xml:space="preserve">change to the token chain. SPT-Txn is therefore</w:t>
      </w:r>
      <w:r>
        <w:t xml:space="preserve"> </w:t>
      </w:r>
      <w:r>
        <w:rPr>
          <w:b/>
        </w:rPr>
        <w:t xml:space="preserve">identity-method-agnostic</w:t>
      </w:r>
      <w:r>
        <w:t xml:space="preserve">, completing a consistent design discipline</w:t>
      </w:r>
      <w:r>
        <w:t xml:space="preserve"> </w:t>
      </w:r>
      <w:r>
        <w:t xml:space="preserve">across three axes:</w:t>
      </w:r>
      <w:r>
        <w:t xml:space="preserve"> </w:t>
      </w:r>
      <w:r>
        <w:rPr>
          <w:i/>
        </w:rPr>
        <w:t xml:space="preserve">ledger</w:t>
      </w:r>
      <w:r>
        <w:t xml:space="preserve"> </w:t>
      </w:r>
      <w:r>
        <w:t xml:space="preserve">(blockchain-agnostic; XRPL a target, not a</w:t>
      </w:r>
      <w:r>
        <w:t xml:space="preserve"> </w:t>
      </w:r>
      <w:r>
        <w:t xml:space="preserve">dependency),</w:t>
      </w:r>
      <w:r>
        <w:t xml:space="preserve"> </w:t>
      </w:r>
      <w:r>
        <w:rPr>
          <w:i/>
        </w:rPr>
        <w:t xml:space="preserve">policy representation</w:t>
      </w:r>
      <w:r>
        <w:t xml:space="preserve"> </w:t>
      </w:r>
      <w:r>
        <w:t xml:space="preserve">(the representation-agnostic policy</w:t>
      </w:r>
      <w:r>
        <w:t xml:space="preserve"> </w:t>
      </w:r>
      <w:r>
        <w:t xml:space="preserve">object), and</w:t>
      </w:r>
      <w:r>
        <w:t xml:space="preserve"> </w:t>
      </w:r>
      <w:r>
        <w:rPr>
          <w:i/>
        </w:rPr>
        <w:t xml:space="preserve">identity method</w:t>
      </w:r>
      <w:r>
        <w:t xml:space="preserve"> </w:t>
      </w:r>
      <w:r>
        <w:t xml:space="preserve">(zkDID behind an adapter). The framework</w:t>
      </w:r>
      <w:r>
        <w:t xml:space="preserve"> </w:t>
      </w:r>
      <w:r>
        <w:t xml:space="preserve">runs today on its interim and upgrades to</w:t>
      </w:r>
      <w:r>
        <w:t xml:space="preserve"> </w:t>
      </w:r>
      <w:r>
        <w:rPr>
          <w:rStyle w:val="VerbatimChar"/>
        </w:rPr>
        <w:t xml:space="preserve">.zkdid</w:t>
      </w:r>
      <w:r>
        <w:t xml:space="preserve">/</w:t>
      </w:r>
      <w:r>
        <w:rPr>
          <w:rStyle w:val="VerbatimChar"/>
        </w:rPr>
        <w:t xml:space="preserve">.zkdns</w:t>
      </w:r>
      <w:r>
        <w:t xml:space="preserve"> </w:t>
      </w:r>
      <w:r>
        <w:t xml:space="preserve">when</w:t>
      </w:r>
      <w:r>
        <w:t xml:space="preserve"> </w:t>
      </w:r>
      <w:r>
        <w:t xml:space="preserve">that infrastructure is production-ready, a forward-compatibility</w:t>
      </w:r>
      <w:r>
        <w:t xml:space="preserve"> </w:t>
      </w:r>
      <w:r>
        <w:t xml:space="preserve">guarantee, not a blocking dependency.</w:t>
      </w:r>
    </w:p>
    <w:p>
      <w:pPr>
        <w:pStyle w:val="Heading2"/>
      </w:pPr>
      <w:bookmarkStart w:id="33" w:name="the-revised-trust-geometry"/>
      <w:r>
        <w:t xml:space="preserve">3.4 The revised trust geometry</w:t>
      </w:r>
      <w:bookmarkEnd w:id="33"/>
    </w:p>
    <w:p>
      <w:pPr>
        <w:pStyle w:val="FirstParagraph"/>
      </w:pPr>
      <w:r>
        <w:t xml:space="preserve">zkDID relocates where trust sits. The root of trust remains the</w:t>
      </w:r>
      <w:r>
        <w:t xml:space="preserve"> </w:t>
      </w:r>
      <w:r>
        <w:rPr>
          <w:b/>
        </w:rPr>
        <w:t xml:space="preserve">regulated issuer</w:t>
      </w:r>
      <w:r>
        <w:t xml:space="preserve"> </w:t>
      </w:r>
      <w:r>
        <w:t xml:space="preserve">(a KYC/compliance provider certified by a</w:t>
      </w:r>
      <w:r>
        <w:t xml:space="preserve"> </w:t>
      </w:r>
      <w:r>
        <w:t xml:space="preserve">regulatory trust registry, §7), but the issuer’s</w:t>
      </w:r>
      <w:r>
        <w:t xml:space="preserve"> </w:t>
      </w:r>
      <w:r>
        <w:rPr>
          <w:i/>
        </w:rPr>
        <w:t xml:space="preserve">accountability</w:t>
      </w:r>
      <w:r>
        <w:t xml:space="preserve"> </w:t>
      </w:r>
      <w:r>
        <w:t xml:space="preserve">is</w:t>
      </w:r>
      <w:r>
        <w:t xml:space="preserve"> </w:t>
      </w:r>
      <w:r>
        <w:t xml:space="preserve">decoupled from the subject’s</w:t>
      </w:r>
      <w:r>
        <w:t xml:space="preserve"> </w:t>
      </w:r>
      <w:r>
        <w:rPr>
          <w:i/>
        </w:rPr>
        <w:t xml:space="preserve">traceability</w:t>
      </w:r>
      <w:r>
        <w:t xml:space="preserve">: a regulator can audit the</w:t>
      </w:r>
      <w:r>
        <w:t xml:space="preserve"> </w:t>
      </w:r>
      <w:r>
        <w:t xml:space="preserve">issuer; the issuer cannot surveil the user’s downstream access; a</w:t>
      </w:r>
      <w:r>
        <w:t xml:space="preserve"> </w:t>
      </w:r>
      <w:r>
        <w:t xml:space="preserve">verifier cannot correlate a subject across sessions. Lawful</w:t>
      </w:r>
      <w:r>
        <w:t xml:space="preserve"> </w:t>
      </w:r>
      <w:r>
        <w:t xml:space="preserve">re-identification remains possible, but only via the escrow path (§5.5),</w:t>
      </w:r>
      <w:r>
        <w:t xml:space="preserve"> </w:t>
      </w:r>
      <w:r>
        <w:t xml:space="preserve">under quorum/lawful process, never from the on-the-wire data.</w:t>
      </w:r>
    </w:p>
    <w:p>
      <w:pPr>
        <w:pStyle w:val="Heading2"/>
      </w:pPr>
      <w:bookmarkStart w:id="34" w:name="hard-problems-stated-not-waved-away"/>
      <w:r>
        <w:t xml:space="preserve">3.5 Hard problems (stated, not waved away)</w:t>
      </w:r>
      <w:bookmarkEnd w:id="3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Sybil resistance</w:t>
      </w:r>
      <w:r>
        <w:t xml:space="preserve"> </w:t>
      </w:r>
      <w:r>
        <w:t xml:space="preserve">requires proving</w:t>
      </w:r>
      <w:r>
        <w:t xml:space="preserve"> </w:t>
      </w:r>
      <w:r>
        <w:rPr>
          <w:i/>
        </w:rPr>
        <w:t xml:space="preserve">one human → one anchor</w:t>
      </w:r>
      <w:r>
        <w:t xml:space="preserve"> </w:t>
      </w:r>
      <w:r>
        <w:t xml:space="preserve">without revealing the human, a</w:t>
      </w:r>
      <w:r>
        <w:t xml:space="preserve"> </w:t>
      </w:r>
      <w:r>
        <w:rPr>
          <w:b/>
        </w:rPr>
        <w:t xml:space="preserve">biometric uniqueness</w:t>
      </w:r>
      <w:r>
        <w:t xml:space="preserve"> </w:t>
      </w:r>
      <w:r>
        <w:t xml:space="preserve">layer: a</w:t>
      </w:r>
      <w:r>
        <w:t xml:space="preserve"> </w:t>
      </w:r>
      <w:r>
        <w:t xml:space="preserve">fuzzy extractor yielding a stable secret from noisy biometrics, plus</w:t>
      </w:r>
      <w:r>
        <w:t xml:space="preserve"> </w:t>
      </w:r>
      <w:r>
        <w:t xml:space="preserve">a nullifier for global one-enrolment-per-person, inside a secure</w:t>
      </w:r>
      <w:r>
        <w:t xml:space="preserve"> </w:t>
      </w:r>
      <w:r>
        <w:t xml:space="preserve">enclave with attested liveness (never biometric hashes on-chain).</w:t>
      </w:r>
      <w:r>
        <w:t xml:space="preserve"> </w:t>
      </w:r>
      <w:r>
        <w:t xml:space="preserve">The POC uses a placeholder; this is a first-class part of the</w:t>
      </w:r>
      <w:r>
        <w:t xml:space="preserve"> </w:t>
      </w:r>
      <w:r>
        <w:rPr>
          <w:rStyle w:val="VerbatimChar"/>
        </w:rPr>
        <w:t xml:space="preserve">.zkdid</w:t>
      </w:r>
      <w:r>
        <w:t xml:space="preserve"> </w:t>
      </w:r>
      <w:r>
        <w:t xml:space="preserve">integration.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Issuer coercion.</w:t>
      </w:r>
      <w:r>
        <w:t xml:space="preserve"> </w:t>
      </w:r>
      <w:r>
        <w:t xml:space="preserve">ZK cannot protect against a compromised or</w:t>
      </w:r>
      <w:r>
        <w:t xml:space="preserve"> </w:t>
      </w:r>
      <w:r>
        <w:t xml:space="preserve">coerced issuer fabricating credentials; high-stakes attributes need</w:t>
      </w:r>
      <w:r>
        <w:t xml:space="preserve"> </w:t>
      </w:r>
      <w:r>
        <w:t xml:space="preserve">multi-issuer attestation and governance, not cryptography alone.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Proof freshness.</w:t>
      </w:r>
      <w:r>
        <w:t xml:space="preserve"> </w:t>
      </w:r>
      <w:r>
        <w:t xml:space="preserve">A proof over committed state carries a</w:t>
      </w:r>
      <w:r>
        <w:t xml:space="preserve"> </w:t>
      </w:r>
      <w:r>
        <w:t xml:space="preserve">timestamp; the policy enforces a maximum proof age (§2.3), implying</w:t>
      </w:r>
      <w:r>
        <w:t xml:space="preserve"> </w:t>
      </w:r>
      <w:r>
        <w:t xml:space="preserve">a subject liveness requirement.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Proof-system soundness.</w:t>
      </w:r>
      <w:r>
        <w:t xml:space="preserve"> </w:t>
      </w:r>
      <w:r>
        <w:t xml:space="preserve">Integrity rests on the proving system</w:t>
      </w:r>
      <w:r>
        <w:t xml:space="preserve"> </w:t>
      </w:r>
      <w:r>
        <w:t xml:space="preserve">and its parameters; production requires audited circuits and a sound</w:t>
      </w:r>
      <w:r>
        <w:t xml:space="preserve"> </w:t>
      </w:r>
      <w:r>
        <w:t xml:space="preserve">or transparent setup (§5.4).</w:t>
      </w:r>
    </w:p>
    <w:p>
      <w:pPr>
        <w:pStyle w:val="Heading1"/>
      </w:pPr>
      <w:bookmarkStart w:id="35" w:name="X035ae3b88321bfce2e88e0de7dcdc0eeedca9bd"/>
      <w:r>
        <w:t xml:space="preserve">4. zkDNS: naming and discovery, and the alternatives</w:t>
      </w:r>
      <w:bookmarkEnd w:id="35"/>
    </w:p>
    <w:p>
      <w:pPr>
        <w:pStyle w:val="Heading2"/>
      </w:pPr>
      <w:bookmarkStart w:id="36" w:name="the-problem-1"/>
      <w:r>
        <w:t xml:space="preserve">4.1 The problem</w:t>
      </w:r>
      <w:bookmarkEnd w:id="36"/>
    </w:p>
    <w:p>
      <w:pPr>
        <w:pStyle w:val="FirstParagraph"/>
      </w:pPr>
      <w:r>
        <w:t xml:space="preserve">Inter-VASP and agent-to-agent authorization needs a way to discover a</w:t>
      </w:r>
      <w:r>
        <w:t xml:space="preserve"> </w:t>
      </w:r>
      <w:r>
        <w:t xml:space="preserve">counterparty and bind its</w:t>
      </w:r>
      <w:r>
        <w:t xml:space="preserve"> </w:t>
      </w:r>
      <w:r>
        <w:rPr>
          <w:b/>
        </w:rPr>
        <w:t xml:space="preserve">name → public key / service endpoint</w:t>
      </w:r>
      <w:r>
        <w:t xml:space="preserve"> </w:t>
      </w:r>
      <w:r>
        <w:t xml:space="preserve">with</w:t>
      </w:r>
      <w:r>
        <w:t xml:space="preserve"> </w:t>
      </w:r>
      <w:r>
        <w:t xml:space="preserve">integrity, and to do so without (a) depending on a single</w:t>
      </w:r>
      <w:r>
        <w:t xml:space="preserve"> </w:t>
      </w:r>
      <w:r>
        <w:t xml:space="preserve">sizeable/censorable root and (b) leaking who is querying whom. The FATF</w:t>
      </w:r>
      <w:r>
        <w:t xml:space="preserve"> </w:t>
      </w:r>
      <w:r>
        <w:t xml:space="preserve">Travel Rule ecosystem currently solves discovery with sender-provided</w:t>
      </w:r>
      <w:r>
        <w:t xml:space="preserve"> </w:t>
      </w:r>
      <w:r>
        <w:t xml:space="preserve">addresses (the OpenVASP</w:t>
      </w:r>
      <w:r>
        <w:t xml:space="preserve"> </w:t>
      </w:r>
      <w:r>
        <w:rPr>
          <w:i/>
        </w:rPr>
        <w:t xml:space="preserve">Travel Address</w:t>
      </w:r>
      <w:r>
        <w:t xml:space="preserve">) or a centralized directory</w:t>
      </w:r>
      <w:r>
        <w:t xml:space="preserve"> </w:t>
      </w:r>
      <w:r>
        <w:t xml:space="preserve">(TRISA’s Global Directory Service, GDS). Both reintroduce a trust</w:t>
      </w:r>
      <w:r>
        <w:t xml:space="preserve"> </w:t>
      </w:r>
      <w:r>
        <w:t xml:space="preserve">chokepoint and offer no query privacy. zkDNS is the design we propose to</w:t>
      </w:r>
      <w:r>
        <w:t xml:space="preserve"> </w:t>
      </w:r>
      <w:r>
        <w:t xml:space="preserve">close that gap; it is evaluated below against the established options.</w:t>
      </w:r>
    </w:p>
    <w:p>
      <w:pPr>
        <w:pStyle w:val="Heading2"/>
      </w:pPr>
      <w:bookmarkStart w:id="37" w:name="alternatives-considered"/>
      <w:r>
        <w:t xml:space="preserve">4.2 Alternatives considered</w:t>
      </w:r>
      <w:bookmarkEnd w:id="37"/>
    </w:p>
    <w:p>
      <w:pPr>
        <w:pStyle w:val="FirstParagraph"/>
      </w:pPr>
      <w:r>
        <w:rPr>
          <w:b/>
        </w:rPr>
        <w:t xml:space="preserve">Centralized DNS + the ICANN root.</w:t>
      </w:r>
      <w:r>
        <w:t xml:space="preserve"> </w:t>
      </w:r>
      <w:r>
        <w:t xml:space="preserve">Ubiquitous and operationally</w:t>
      </w:r>
      <w:r>
        <w:t xml:space="preserve"> </w:t>
      </w:r>
      <w:r>
        <w:t xml:space="preserve">mature, but the root zone is a single governance and seizure point, and</w:t>
      </w:r>
      <w:r>
        <w:t xml:space="preserve"> </w:t>
      </w:r>
      <w:r>
        <w:t xml:space="preserve">classic DNS provides neither integrity nor confidentiality. Unsuitable</w:t>
      </w:r>
      <w:r>
        <w:t xml:space="preserve"> </w:t>
      </w:r>
      <w:r>
        <w:t xml:space="preserve">as a trust anchor for adversarial, cross-jurisdictional compliance</w:t>
      </w:r>
      <w:r>
        <w:t xml:space="preserve"> </w:t>
      </w:r>
      <w:r>
        <w:t xml:space="preserve">traffic.</w:t>
      </w:r>
    </w:p>
    <w:p>
      <w:pPr>
        <w:pStyle w:val="BodyText"/>
      </w:pPr>
      <w:r>
        <w:rPr>
          <w:b/>
        </w:rPr>
        <w:t xml:space="preserve">DNSSEC.</w:t>
      </w:r>
      <w:r>
        <w:t xml:space="preserve"> </w:t>
      </w:r>
      <w:r>
        <w:t xml:space="preserve">Adds origin authentication and integrity via a hierarchical</w:t>
      </w:r>
      <w:r>
        <w:t xml:space="preserve"> </w:t>
      </w:r>
      <w:r>
        <w:t xml:space="preserve">chain of trust to the (still ICANN-governed) root, and DANE / TLSA can</w:t>
      </w:r>
      <w:r>
        <w:t xml:space="preserve"> </w:t>
      </w:r>
      <w:r>
        <w:t xml:space="preserve">bind a key to a name. But DNSSEC provides</w:t>
      </w:r>
      <w:r>
        <w:t xml:space="preserve"> </w:t>
      </w:r>
      <w:r>
        <w:rPr>
          <w:b/>
        </w:rPr>
        <w:t xml:space="preserve">no confidentiality</w:t>
      </w:r>
      <w:r>
        <w:t xml:space="preserve">,</w:t>
      </w:r>
      <w:r>
        <w:t xml:space="preserve"> </w:t>
      </w:r>
      <w:r>
        <w:t xml:space="preserve">queries and responses travel in the clear, and inherits the centralized</w:t>
      </w:r>
      <w:r>
        <w:t xml:space="preserve"> </w:t>
      </w:r>
      <w:r>
        <w:t xml:space="preserve">root and CA-like operational complexity. zkDNS</w:t>
      </w:r>
      <w:r>
        <w:t xml:space="preserve"> </w:t>
      </w:r>
      <w:r>
        <w:rPr>
          <w:i/>
        </w:rPr>
        <w:t xml:space="preserve">complements</w:t>
      </w:r>
      <w:r>
        <w:t xml:space="preserve"> </w:t>
      </w:r>
      <w:r>
        <w:t xml:space="preserve">DNSSEC (a</w:t>
      </w:r>
      <w:r>
        <w:t xml:space="preserve"> </w:t>
      </w:r>
      <w:r>
        <w:t xml:space="preserve">DNSSEC bridge is possible) rather than discarding it.</w:t>
      </w:r>
    </w:p>
    <w:p>
      <w:pPr>
        <w:pStyle w:val="BodyText"/>
      </w:pPr>
      <w:r>
        <w:rPr>
          <w:b/>
        </w:rPr>
        <w:t xml:space="preserve">ENS.</w:t>
      </w:r>
      <w:r>
        <w:t xml:space="preserve"> </w:t>
      </w:r>
      <w:r>
        <w:t xml:space="preserve">Decentralized name resolution on Ethereum; bridges existing DNS</w:t>
      </w:r>
      <w:r>
        <w:t xml:space="preserve"> </w:t>
      </w:r>
      <w:r>
        <w:t xml:space="preserve">names via a DNSSEC</w:t>
      </w:r>
      <w:r>
        <w:t xml:space="preserve"> </w:t>
      </w:r>
      <w:r>
        <w:rPr>
          <w:rStyle w:val="VerbatimChar"/>
        </w:rPr>
        <w:t xml:space="preserve">_ens</w:t>
      </w:r>
      <w:r>
        <w:t xml:space="preserve"> </w:t>
      </w:r>
      <w:r>
        <w:t xml:space="preserve">record. Excellent for Web3 addressing, but</w:t>
      </w:r>
      <w:r>
        <w:t xml:space="preserve"> </w:t>
      </w:r>
      <w:r>
        <w:t xml:space="preserve">general-purpose,</w:t>
      </w:r>
      <w:r>
        <w:t xml:space="preserve"> </w:t>
      </w:r>
      <w:r>
        <w:rPr>
          <w:b/>
        </w:rPr>
        <w:t xml:space="preserve">not zero-knowledge</w:t>
      </w:r>
      <w:r>
        <w:t xml:space="preserve"> </w:t>
      </w:r>
      <w:r>
        <w:t xml:space="preserve">(registrations and resolutions</w:t>
      </w:r>
      <w:r>
        <w:t xml:space="preserve"> </w:t>
      </w:r>
      <w:r>
        <w:t xml:space="preserve">are public on-chain, a correlation surface), and not scoped to</w:t>
      </w:r>
      <w:r>
        <w:t xml:space="preserve"> </w:t>
      </w:r>
      <w:r>
        <w:t xml:space="preserve">compliance / VASP discovery.</w:t>
      </w:r>
    </w:p>
    <w:p>
      <w:pPr>
        <w:pStyle w:val="BodyText"/>
      </w:pPr>
      <w:r>
        <w:rPr>
          <w:b/>
        </w:rPr>
        <w:t xml:space="preserve">Handshake.</w:t>
      </w:r>
      <w:r>
        <w:t xml:space="preserve"> </w:t>
      </w:r>
      <w:r>
        <w:t xml:space="preserve">Replaces the ICANN root zone with a blockchain-governed</w:t>
      </w:r>
      <w:r>
        <w:t xml:space="preserve"> </w:t>
      </w:r>
      <w:r>
        <w:t xml:space="preserve">root and a decentralized trust anchor, a genuine CA/root alternative.</w:t>
      </w:r>
      <w:r>
        <w:t xml:space="preserve"> </w:t>
      </w:r>
      <w:r>
        <w:t xml:space="preserve">But it is a general-purpose TLD system, not ZK, and not a name → key</w:t>
      </w:r>
      <w:r>
        <w:t xml:space="preserve"> </w:t>
      </w:r>
      <w:r>
        <w:t xml:space="preserve">binding for a curated compliance / VASP set.</w:t>
      </w:r>
      <w:r>
        <w:t xml:space="preserve"> </w:t>
      </w:r>
      <w:r>
        <w:rPr>
          <w:b/>
        </w:rPr>
        <w:t xml:space="preserve">Namecoin</w:t>
      </w:r>
      <w:r>
        <w:t xml:space="preserve"> </w:t>
      </w:r>
      <w:r>
        <w:t xml:space="preserve">(</w:t>
      </w:r>
      <w:r>
        <w:rPr>
          <w:rStyle w:val="VerbatimChar"/>
        </w:rPr>
        <w:t xml:space="preserve">.bit</w:t>
      </w:r>
      <w:r>
        <w:t xml:space="preserve">) was</w:t>
      </w:r>
      <w:r>
        <w:t xml:space="preserve"> </w:t>
      </w:r>
      <w:r>
        <w:t xml:space="preserve">the first such system and is now throughput- and feature-limited.</w:t>
      </w:r>
      <w:r>
        <w:t xml:space="preserve"> </w:t>
      </w:r>
      <w:r>
        <w:t xml:space="preserve">ICANN’s OCTO-034 documents the real hazards of alternative name systems</w:t>
      </w:r>
      <w:r>
        <w:t xml:space="preserve"> </w:t>
      </w:r>
      <w:r>
        <w:t xml:space="preserve">(namespace collision, resolution ambiguity); we acknowledge these and</w:t>
      </w:r>
      <w:r>
        <w:t xml:space="preserve"> </w:t>
      </w:r>
      <w:r>
        <w:t xml:space="preserve">scope zkDNS narrowly to avoid them (it is not a public TLD).</w:t>
      </w:r>
    </w:p>
    <w:p>
      <w:pPr>
        <w:pStyle w:val="Heading2"/>
      </w:pPr>
      <w:bookmarkStart w:id="38" w:name="Xdefea4f8f4a9cda6634fe84b0f4738a99e15c66"/>
      <w:r>
        <w:t xml:space="preserve">4.3 zkDNS Layer 1: decentralized name → key discovery</w:t>
      </w:r>
      <w:bookmarkEnd w:id="38"/>
    </w:p>
    <w:p>
      <w:pPr>
        <w:pStyle w:val="FirstParagraph"/>
      </w:pPr>
      <w:r>
        <w:t xml:space="preserve">zkDNS L1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general naming system. It is a name → key/endpoint</w:t>
      </w:r>
      <w:r>
        <w:t xml:space="preserve"> </w:t>
      </w:r>
      <w:r>
        <w:t xml:space="preserve">binding over a</w:t>
      </w:r>
      <w:r>
        <w:t xml:space="preserve"> </w:t>
      </w:r>
      <w:r>
        <w:rPr>
          <w:b/>
        </w:rPr>
        <w:t xml:space="preserve">decentralized, committed trust registry</w:t>
      </w:r>
      <w:r>
        <w:t xml:space="preserve"> </w:t>
      </w:r>
      <w:r>
        <w:t xml:space="preserve">of VASPs /</w:t>
      </w:r>
      <w:r>
        <w:t xml:space="preserve"> </w:t>
      </w:r>
      <w:r>
        <w:t xml:space="preserve">agents (the same Merkle-committed, signed-root structure used for VASP</w:t>
      </w:r>
      <w:r>
        <w:t xml:space="preserve"> </w:t>
      </w:r>
      <w:r>
        <w:t xml:space="preserve">membership in §6): a party proves in zero knowledge that a counterparty</w:t>
      </w:r>
      <w:r>
        <w:t xml:space="preserve"> </w:t>
      </w:r>
      <w:r>
        <w:t xml:space="preserve">name is</w:t>
      </w:r>
      <w:r>
        <w:t xml:space="preserve"> </w:t>
      </w:r>
      <w:r>
        <w:rPr>
          <w:b/>
        </w:rPr>
        <w:t xml:space="preserve">registered and its key binding is valid, without revealing the</w:t>
      </w:r>
      <w:r>
        <w:rPr>
          <w:b/>
        </w:rPr>
        <w:t xml:space="preserve"> </w:t>
      </w:r>
      <w:r>
        <w:rPr>
          <w:b/>
        </w:rPr>
        <w:t xml:space="preserve">namespace or which entry</w:t>
      </w:r>
      <w:r>
        <w:t xml:space="preserve"> </w:t>
      </w:r>
      <w:r>
        <w:t xml:space="preserve">it matched. This replaces the Travel Address</w:t>
      </w:r>
      <w:r>
        <w:t xml:space="preserve"> </w:t>
      </w:r>
      <w:r>
        <w:t xml:space="preserve">/ GDS chokepoint with a neutral, capture-resistant root, and complements</w:t>
      </w:r>
      <w:r>
        <w:t xml:space="preserve"> </w:t>
      </w:r>
      <w:r>
        <w:t xml:space="preserve">DNSSEC where a DNSSEC bridge is desired. One line:</w:t>
      </w:r>
      <w:r>
        <w:t xml:space="preserve"> </w:t>
      </w:r>
      <w:r>
        <w:rPr>
          <w:i/>
        </w:rPr>
        <w:t xml:space="preserve">Handshake</w:t>
      </w:r>
      <w:r>
        <w:rPr>
          <w:i/>
        </w:rPr>
        <w:t xml:space="preserve"> </w:t>
      </w:r>
      <w:r>
        <w:rPr>
          <w:i/>
        </w:rPr>
        <w:t xml:space="preserve">decentralizes the root; ENS resolves Web3 names; zkDNS adds ZK</w:t>
      </w:r>
      <w:r>
        <w:rPr>
          <w:i/>
        </w:rPr>
        <w:t xml:space="preserve"> </w:t>
      </w:r>
      <w:r>
        <w:rPr>
          <w:i/>
        </w:rPr>
        <w:t xml:space="preserve">membership proofs over a compliance/VASP trust registry.</w:t>
      </w:r>
    </w:p>
    <w:p>
      <w:pPr>
        <w:pStyle w:val="Heading2"/>
      </w:pPr>
      <w:bookmarkStart w:id="39" w:name="zkdns-layer-2-private-resolution"/>
      <w:r>
        <w:t xml:space="preserve">4.4 zkDNS Layer 2: private resolution</w:t>
      </w:r>
      <w:bookmarkEnd w:id="39"/>
    </w:p>
    <w:p>
      <w:pPr>
        <w:pStyle w:val="FirstParagraph"/>
      </w:pPr>
      <w:r>
        <w:t xml:space="preserve">Even with a decentralized binding,</w:t>
      </w:r>
      <w:r>
        <w:t xml:space="preserve"> </w:t>
      </w:r>
      <w:r>
        <w:rPr>
          <w:i/>
        </w:rPr>
        <w:t xml:space="preserve">who resolves what</w:t>
      </w:r>
      <w:r>
        <w:t xml:space="preserve"> </w:t>
      </w:r>
      <w:r>
        <w:t xml:space="preserve">leaks a</w:t>
      </w:r>
      <w:r>
        <w:t xml:space="preserve"> </w:t>
      </w:r>
      <w:r>
        <w:t xml:space="preserve">behavioral graph (which VASP is screening which counterparty, when).</w:t>
      </w:r>
      <w:r>
        <w:t xml:space="preserve"> </w:t>
      </w:r>
      <w:r>
        <w:t xml:space="preserve">zkDNS L2 combines two established techniques:</w:t>
      </w:r>
      <w:r>
        <w:t xml:space="preserve"> </w:t>
      </w:r>
      <w:r>
        <w:rPr>
          <w:b/>
        </w:rPr>
        <w:t xml:space="preserve">ODoH</w:t>
      </w:r>
      <w:r>
        <w:t xml:space="preserve"> </w:t>
      </w:r>
      <w:r>
        <w:t xml:space="preserve">(Oblivious</w:t>
      </w:r>
      <w:r>
        <w:t xml:space="preserve"> </w:t>
      </w:r>
      <w:r>
        <w:t xml:space="preserve">DNS-over-HTTPS, RFC 9230) proxy / target separation, so no single server</w:t>
      </w:r>
      <w:r>
        <w:t xml:space="preserve"> </w:t>
      </w:r>
      <w:r>
        <w:t xml:space="preserve">learns both the querier’s identity and the query; and a</w:t>
      </w:r>
      <w:r>
        <w:t xml:space="preserve"> </w:t>
      </w:r>
      <w:r>
        <w:rPr>
          <w:b/>
        </w:rPr>
        <w:t xml:space="preserve">DECO-style</w:t>
      </w:r>
      <w:r>
        <w:t xml:space="preserve"> </w:t>
      </w:r>
      <w:r>
        <w:t xml:space="preserve">zero-knowledge lookup against the registry / oracle’s</w:t>
      </w:r>
      <w:r>
        <w:t xml:space="preserve"> </w:t>
      </w:r>
      <w:r>
        <w:rPr>
          <w:b/>
        </w:rPr>
        <w:t xml:space="preserve">committed</w:t>
      </w:r>
      <w:r>
        <w:rPr>
          <w:b/>
        </w:rPr>
        <w:t xml:space="preserve"> </w:t>
      </w:r>
      <w:r>
        <w:rPr>
          <w:b/>
        </w:rPr>
        <w:t xml:space="preserve">state</w:t>
      </w:r>
      <w:r>
        <w:t xml:space="preserve">, so a resolver proves a</w:t>
      </w:r>
      <w:r>
        <w:t xml:space="preserve"> </w:t>
      </w:r>
      <w:r>
        <w:rPr>
          <w:rStyle w:val="VerbatimChar"/>
        </w:rPr>
        <w:t xml:space="preserve">name → key</w:t>
      </w:r>
      <w:r>
        <w:t xml:space="preserve"> </w:t>
      </w:r>
      <w:r>
        <w:t xml:space="preserve">(and live attribute) result</w:t>
      </w:r>
      <w:r>
        <w:t xml:space="preserve"> </w:t>
      </w:r>
      <w:r>
        <w:t xml:space="preserve">without revealing the query. This is the same</w:t>
      </w:r>
      <w:r>
        <w:t xml:space="preserve"> </w:t>
      </w:r>
      <w:r>
        <w:t xml:space="preserve">“</w:t>
      </w:r>
      <w:r>
        <w:t xml:space="preserve">blind query against</w:t>
      </w:r>
      <w:r>
        <w:t xml:space="preserve"> </w:t>
      </w:r>
      <w:r>
        <w:t xml:space="preserve">committed state</w:t>
      </w:r>
      <w:r>
        <w:t xml:space="preserve">”</w:t>
      </w:r>
      <w:r>
        <w:t xml:space="preserve"> </w:t>
      </w:r>
      <w:r>
        <w:t xml:space="preserve">primitive used for the dynamic attribute oracle (§5),</w:t>
      </w:r>
      <w:r>
        <w:t xml:space="preserve"> </w:t>
      </w:r>
      <w:r>
        <w:t xml:space="preserve">unifying discovery privacy and attribute privacy under one construction.</w:t>
      </w:r>
    </w:p>
    <w:p>
      <w:pPr>
        <w:pStyle w:val="BodyText"/>
      </w:pPr>
      <w:r>
        <w:t xml:space="preserve">The constructions in §4.3–§4.4 specify the</w:t>
      </w:r>
      <w:r>
        <w:t xml:space="preserve"> </w:t>
      </w:r>
      <w:r>
        <w:rPr>
          <w:i/>
        </w:rPr>
        <w:t xml:space="preserve">properties</w:t>
      </w:r>
      <w:r>
        <w:t xml:space="preserve"> </w:t>
      </w:r>
      <w:r>
        <w:t xml:space="preserve">SPT-Txn</w:t>
      </w:r>
      <w:r>
        <w:t xml:space="preserve"> </w:t>
      </w:r>
      <w:r>
        <w:t xml:space="preserve">requires of a naming / resolution layer. In production these are</w:t>
      </w:r>
      <w:r>
        <w:t xml:space="preserve"> </w:t>
      </w:r>
      <w:r>
        <w:t xml:space="preserve">provided by</w:t>
      </w:r>
      <w:r>
        <w:t xml:space="preserve"> </w:t>
      </w:r>
      <w:r>
        <w:rPr>
          <w:b/>
        </w:rPr>
        <w:t xml:space="preserve">Toby Bolton’s</w:t>
      </w:r>
      <w:r>
        <w:t xml:space="preserve"> </w:t>
      </w:r>
      <w:r>
        <w:rPr>
          <w:rStyle w:val="VerbatimChar"/>
        </w:rPr>
        <w:t xml:space="preserve">.zkdns</w:t>
      </w:r>
      <w:r>
        <w:t xml:space="preserve"> </w:t>
      </w:r>
      <w:r>
        <w:rPr>
          <w:b/>
        </w:rPr>
        <w:t xml:space="preserve">infrastructure</w:t>
      </w:r>
      <w:r>
        <w:t xml:space="preserve"> </w:t>
      </w:r>
      <w:r>
        <w:t xml:space="preserve">(the</w:t>
      </w:r>
      <w:r>
        <w:t xml:space="preserve"> </w:t>
      </w:r>
      <w:r>
        <w:t xml:space="preserve">companion to</w:t>
      </w:r>
      <w:r>
        <w:t xml:space="preserve"> </w:t>
      </w:r>
      <w:r>
        <w:rPr>
          <w:rStyle w:val="VerbatimChar"/>
        </w:rPr>
        <w:t xml:space="preserve">.zkdid</w:t>
      </w:r>
      <w:r>
        <w:t xml:space="preserve">, §3.3), integrated behind the same adapter;</w:t>
      </w:r>
      <w:r>
        <w:t xml:space="preserve"> </w:t>
      </w:r>
      <w:r>
        <w:t xml:space="preserve">SPT-Txn’s interim VASP-registry membership proofs satisfy the L1 binding</w:t>
      </w:r>
      <w:r>
        <w:t xml:space="preserve"> </w:t>
      </w:r>
      <w:r>
        <w:t xml:space="preserve">today, so the framework is not blocked on the external layer.</w:t>
      </w:r>
    </w:p>
    <w:p>
      <w:pPr>
        <w:pStyle w:val="Heading2"/>
      </w:pPr>
      <w:bookmarkStart w:id="40" w:name="threat-model-and-open-problems"/>
      <w:r>
        <w:t xml:space="preserve">4.5 Threat model and open problems</w:t>
      </w:r>
      <w:bookmarkEnd w:id="40"/>
    </w:p>
    <w:p>
      <w:pPr>
        <w:pStyle w:val="FirstParagraph"/>
      </w:pPr>
      <w:r>
        <w:t xml:space="preserve">The committed set’s authority must itself be bootstrapped (who may add a</w:t>
      </w:r>
      <w:r>
        <w:t xml:space="preserve"> </w:t>
      </w:r>
      <w:r>
        <w:t xml:space="preserve">VASP), addressed by the regulatory trust-registry governance of §7;</w:t>
      </w:r>
      <w:r>
        <w:t xml:space="preserve"> </w:t>
      </w:r>
      <w:r>
        <w:t xml:space="preserve">namespace collision is avoided by scoping (no public TLDs); liveness and</w:t>
      </w:r>
      <w:r>
        <w:t xml:space="preserve"> </w:t>
      </w:r>
      <w:r>
        <w:t xml:space="preserve">freshness of the committed root require periodic signed publication; and</w:t>
      </w:r>
      <w:r>
        <w:t xml:space="preserve"> </w:t>
      </w:r>
      <w:r>
        <w:t xml:space="preserve">the privacy of L2 degrades if the proxy and target collude. These are</w:t>
      </w:r>
      <w:r>
        <w:t xml:space="preserve"> </w:t>
      </w:r>
      <w:r>
        <w:t xml:space="preserve">stated as limitations, not solved by fiat.</w:t>
      </w:r>
    </w:p>
    <w:p>
      <w:pPr>
        <w:pStyle w:val="Heading1"/>
      </w:pPr>
      <w:bookmarkStart w:id="41" w:name="cryptographic-design-measured"/>
      <w:r>
        <w:t xml:space="preserve">5. Cryptographic design, measured</w:t>
      </w:r>
      <w:bookmarkEnd w:id="41"/>
    </w:p>
    <w:p>
      <w:pPr>
        <w:pStyle w:val="FirstParagraph"/>
      </w:pPr>
      <w:r>
        <w:t xml:space="preserve">Cryptographic choices here are</w:t>
      </w:r>
      <w:r>
        <w:t xml:space="preserve"> </w:t>
      </w:r>
      <w:r>
        <w:rPr>
          <w:b/>
        </w:rPr>
        <w:t xml:space="preserve">benchmarked on the reference host, not</w:t>
      </w:r>
      <w:r>
        <w:rPr>
          <w:b/>
        </w:rPr>
        <w:t xml:space="preserve"> </w:t>
      </w:r>
      <w:r>
        <w:rPr>
          <w:b/>
        </w:rPr>
        <w:t xml:space="preserve">assumed.</w:t>
      </w:r>
    </w:p>
    <w:p>
      <w:pPr>
        <w:pStyle w:val="Heading2"/>
      </w:pPr>
      <w:bookmarkStart w:id="42" w:name="circuits-and-commitments"/>
      <w:r>
        <w:t xml:space="preserve">5.1 Circuits and commitments</w:t>
      </w:r>
      <w:bookmarkEnd w:id="42"/>
    </w:p>
    <w:p>
      <w:pPr>
        <w:pStyle w:val="FirstParagraph"/>
      </w:pPr>
      <w:r>
        <w:t xml:space="preserve">Three Groth16 predicate circuits prove compliance facts while revealing</w:t>
      </w:r>
      <w:r>
        <w:t xml:space="preserve"> </w:t>
      </w:r>
      <w:r>
        <w:t xml:space="preserve">nothing about the underlying data: an</w:t>
      </w:r>
      <w:r>
        <w:t xml:space="preserve"> </w:t>
      </w:r>
      <w:r>
        <w:rPr>
          <w:b/>
        </w:rPr>
        <w:t xml:space="preserve">identity-commitment</w:t>
      </w:r>
      <w:r>
        <w:t xml:space="preserve"> </w:t>
      </w:r>
      <w:r>
        <w:t xml:space="preserve">circuit</w:t>
      </w:r>
      <w:r>
        <w:t xml:space="preserve"> </w:t>
      </w:r>
      <w:r>
        <w:t xml:space="preserve">(the holder knows the material behind the humanAnchor), a</w:t>
      </w:r>
      <w:r>
        <w:t xml:space="preserve"> </w:t>
      </w:r>
      <w:r>
        <w:rPr>
          <w:b/>
        </w:rPr>
        <w:t xml:space="preserve">threshold</w:t>
      </w:r>
      <w:r>
        <w:t xml:space="preserve"> </w:t>
      </w:r>
      <w:r>
        <w:t xml:space="preserve">circuit (a committed amount is at or above the FATF reporting threshold,</w:t>
      </w:r>
      <w:r>
        <w:t xml:space="preserve"> </w:t>
      </w:r>
      <w:r>
        <w:t xml:space="preserve">amount hidden, range-checked to 64 bits), and a</w:t>
      </w:r>
      <w:r>
        <w:t xml:space="preserve"> </w:t>
      </w:r>
      <w:r>
        <w:rPr>
          <w:b/>
        </w:rPr>
        <w:t xml:space="preserve">VASP-membership</w:t>
      </w:r>
      <w:r>
        <w:t xml:space="preserve"> </w:t>
      </w:r>
      <w:r>
        <w:t xml:space="preserve">circuit (a counterparty is in the committed registry, which member</w:t>
      </w:r>
      <w:r>
        <w:t xml:space="preserve"> </w:t>
      </w:r>
      <w:r>
        <w:t xml:space="preserve">hidden, via a Merkle authentication path). The native commitment hash</w:t>
      </w:r>
      <w:r>
        <w:t xml:space="preserve"> </w:t>
      </w:r>
      <w:r>
        <w:t xml:space="preserve">and the in-circuit gadget are the</w:t>
      </w:r>
      <w:r>
        <w:t xml:space="preserve"> </w:t>
      </w:r>
      <w:r>
        <w:rPr>
          <w:i/>
        </w:rPr>
        <w:t xml:space="preserve">same function by construction</w:t>
      </w:r>
      <w:r>
        <w:t xml:space="preserve">, so</w:t>
      </w:r>
      <w:r>
        <w:t xml:space="preserve"> </w:t>
      </w:r>
      <w:r>
        <w:t xml:space="preserve">the token’s humanAnchor equals the zero-knowledge-proven commitment, end</w:t>
      </w:r>
      <w:r>
        <w:t xml:space="preserve"> </w:t>
      </w:r>
      <w:r>
        <w:t xml:space="preserve">to end.</w:t>
      </w:r>
    </w:p>
    <w:p>
      <w:pPr>
        <w:pStyle w:val="Heading2"/>
      </w:pPr>
      <w:bookmarkStart w:id="43" w:name="zk-friendly-hash-mimc-poseidon2"/>
      <w:r>
        <w:t xml:space="preserve">5.2 ZK-friendly hash: MiMC → Poseidon2</w:t>
      </w:r>
      <w:bookmarkEnd w:id="43"/>
    </w:p>
    <w:p>
      <w:pPr>
        <w:pStyle w:val="FirstParagraph"/>
      </w:pPr>
      <w:r>
        <w:t xml:space="preserve">The commitment / Merkle hash is the dominant circuit cost. We migrated</w:t>
      </w:r>
      <w:r>
        <w:t xml:space="preserve"> </w:t>
      </w:r>
      <w:r>
        <w:t xml:space="preserve">from MiMC to</w:t>
      </w:r>
      <w:r>
        <w:t xml:space="preserve"> </w:t>
      </w:r>
      <w:r>
        <w:rPr>
          <w:b/>
        </w:rPr>
        <w:t xml:space="preserve">Poseidon2</w:t>
      </w:r>
      <w:r>
        <w:t xml:space="preserve"> </w:t>
      </w:r>
      <w:r>
        <w:t xml:space="preserve">and measured the effect on the reference host</w:t>
      </w:r>
      <w:r>
        <w:t xml:space="preserve"> </w:t>
      </w:r>
      <w:r>
        <w:t xml:space="preserve">(gnark v0.15, Groth16):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Proof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MiMC</w:t>
            </w:r>
          </w:p>
        </w:tc>
        <w:tc>
          <w:p>
            <w:pPr>
              <w:pStyle w:val="Compact"/>
              <w:jc w:val="left"/>
            </w:pPr>
            <w:r>
              <w:t xml:space="preserve">BN254</w:t>
            </w:r>
          </w:p>
        </w:tc>
        <w:tc>
          <w:p>
            <w:pPr>
              <w:pStyle w:val="Compact"/>
              <w:jc w:val="left"/>
            </w:pPr>
            <w:r>
              <w:t xml:space="preserve">42,241</w:t>
            </w:r>
          </w:p>
        </w:tc>
        <w:tc>
          <w:p>
            <w:pPr>
              <w:pStyle w:val="Compact"/>
              <w:jc w:val="left"/>
            </w:pPr>
            <w:r>
              <w:t xml:space="preserve">1m57s</w:t>
            </w:r>
          </w:p>
        </w:tc>
        <w:tc>
          <w:p>
            <w:pPr>
              <w:pStyle w:val="Compact"/>
              <w:jc w:val="left"/>
            </w:pPr>
            <w:r>
              <w:t xml:space="preserve">11.46 s</w:t>
            </w:r>
          </w:p>
        </w:tc>
        <w:tc>
          <w:p>
            <w:pPr>
              <w:pStyle w:val="Compact"/>
              <w:jc w:val="left"/>
            </w:pPr>
            <w:r>
              <w:t xml:space="preserve">14.7 ms</w:t>
            </w:r>
          </w:p>
        </w:tc>
        <w:tc>
          <w:p>
            <w:pPr>
              <w:pStyle w:val="Compact"/>
              <w:jc w:val="left"/>
            </w:pPr>
            <w:r>
              <w:t xml:space="preserve">164 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Poseidon2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BN254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23,809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1m05s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6.79 s</w:t>
            </w:r>
          </w:p>
        </w:tc>
        <w:tc>
          <w:p>
            <w:pPr>
              <w:pStyle w:val="Compact"/>
              <w:jc w:val="left"/>
            </w:pPr>
            <w:r>
              <w:t xml:space="preserve">14.0 ms</w:t>
            </w:r>
          </w:p>
        </w:tc>
        <w:tc>
          <w:p>
            <w:pPr>
              <w:pStyle w:val="Compact"/>
              <w:jc w:val="left"/>
            </w:pPr>
            <w:r>
              <w:t xml:space="preserve">164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MiMC</w:t>
            </w:r>
          </w:p>
        </w:tc>
        <w:tc>
          <w:p>
            <w:pPr>
              <w:pStyle w:val="Compact"/>
              <w:jc w:val="left"/>
            </w:pPr>
            <w:r>
              <w:t xml:space="preserve">BLS12-381</w:t>
            </w:r>
          </w:p>
        </w:tc>
        <w:tc>
          <w:p>
            <w:pPr>
              <w:pStyle w:val="Compact"/>
              <w:jc w:val="left"/>
            </w:pPr>
            <w:r>
              <w:t xml:space="preserve">42,625</w:t>
            </w:r>
          </w:p>
        </w:tc>
        <w:tc>
          <w:p>
            <w:pPr>
              <w:pStyle w:val="Compact"/>
              <w:jc w:val="left"/>
            </w:pPr>
            <w:r>
              <w:t xml:space="preserve">3m42s</w:t>
            </w:r>
          </w:p>
        </w:tc>
        <w:tc>
          <w:p>
            <w:pPr>
              <w:pStyle w:val="Compact"/>
              <w:jc w:val="left"/>
            </w:pPr>
            <w:r>
              <w:t xml:space="preserve">21.03 s</w:t>
            </w:r>
          </w:p>
        </w:tc>
        <w:tc>
          <w:p>
            <w:pPr>
              <w:pStyle w:val="Compact"/>
              <w:jc w:val="left"/>
            </w:pPr>
            <w:r>
              <w:t xml:space="preserve">18.9 ms</w:t>
            </w:r>
          </w:p>
        </w:tc>
        <w:tc>
          <w:p>
            <w:pPr>
              <w:pStyle w:val="Compact"/>
              <w:jc w:val="left"/>
            </w:pPr>
            <w:r>
              <w:t xml:space="preserve">244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Poseidon2</w:t>
            </w:r>
          </w:p>
        </w:tc>
        <w:tc>
          <w:p>
            <w:pPr>
              <w:pStyle w:val="Compact"/>
              <w:jc w:val="left"/>
            </w:pPr>
            <w:r>
              <w:t xml:space="preserve">BLS12-381</w:t>
            </w:r>
          </w:p>
        </w:tc>
        <w:tc>
          <w:p>
            <w:pPr>
              <w:pStyle w:val="Compact"/>
              <w:jc w:val="left"/>
            </w:pPr>
            <w:r>
              <w:t xml:space="preserve">23,809</w:t>
            </w:r>
          </w:p>
        </w:tc>
        <w:tc>
          <w:p>
            <w:pPr>
              <w:pStyle w:val="Compact"/>
              <w:jc w:val="left"/>
            </w:pPr>
            <w:r>
              <w:t xml:space="preserve">1m59s</w:t>
            </w:r>
          </w:p>
        </w:tc>
        <w:tc>
          <w:p>
            <w:pPr>
              <w:pStyle w:val="Compact"/>
              <w:jc w:val="left"/>
            </w:pPr>
            <w:r>
              <w:t xml:space="preserve">11.89 s</w:t>
            </w:r>
          </w:p>
        </w:tc>
        <w:tc>
          <w:p>
            <w:pPr>
              <w:pStyle w:val="Compact"/>
              <w:jc w:val="left"/>
            </w:pPr>
            <w:r>
              <w:t xml:space="preserve">18.5 ms</w:t>
            </w:r>
          </w:p>
        </w:tc>
        <w:tc>
          <w:p>
            <w:pPr>
              <w:pStyle w:val="Compact"/>
              <w:jc w:val="left"/>
            </w:pPr>
            <w:r>
              <w:t xml:space="preserve">244 B</w:t>
            </w:r>
          </w:p>
        </w:tc>
      </w:tr>
    </w:tbl>
    <w:p>
      <w:pPr>
        <w:pStyle w:val="BodyText"/>
      </w:pPr>
      <w:r>
        <w:rPr>
          <w:i/>
        </w:rPr>
        <w:t xml:space="preserve">(64-hash stress circuit, chosen to amplify the hash cost; production</w:t>
      </w:r>
      <w:r>
        <w:rPr>
          <w:i/>
        </w:rPr>
        <w:t xml:space="preserve"> </w:t>
      </w:r>
      <w:r>
        <w:rPr>
          <w:i/>
        </w:rPr>
        <w:t xml:space="preserve">circuits are 661–5,305 constraints.)</w:t>
      </w:r>
      <w:r>
        <w:t xml:space="preserve"> </w:t>
      </w:r>
      <w:r>
        <w:t xml:space="preserve">Poseidon2 is an unambiguous win,</w:t>
      </w:r>
      <w:r>
        <w:t xml:space="preserve"> </w:t>
      </w:r>
      <w:r>
        <w:rPr>
          <w:b/>
        </w:rPr>
        <w:t xml:space="preserve">−44 % constraints, −41 % prove, −44 % setup</w:t>
      </w:r>
      <w:r>
        <w:t xml:space="preserve"> </w:t>
      </w:r>
      <w:r>
        <w:t xml:space="preserve">vs MiMC, with identical</w:t>
      </w:r>
      <w:r>
        <w:t xml:space="preserve"> </w:t>
      </w:r>
      <w:r>
        <w:t xml:space="preserve">proof size and verify. The production VASP circuit fell 5,305 → 3,001</w:t>
      </w:r>
      <w:r>
        <w:t xml:space="preserve"> </w:t>
      </w:r>
      <w:r>
        <w:t xml:space="preserve">constraints on migration. Poseidon2 is adopted; MiMC is the documented</w:t>
      </w:r>
      <w:r>
        <w:t xml:space="preserve"> </w:t>
      </w:r>
      <w:r>
        <w:t xml:space="preserve">prior interim.</w:t>
      </w:r>
    </w:p>
    <w:p>
      <w:pPr>
        <w:pStyle w:val="Heading2"/>
      </w:pPr>
      <w:bookmarkStart w:id="44" w:name="elliptic-curve-bn254-vs-bls12-381"/>
      <w:r>
        <w:t xml:space="preserve">5.3 Elliptic curve: BN254 vs BLS12-381</w:t>
      </w:r>
      <w:bookmarkEnd w:id="44"/>
    </w:p>
    <w:p>
      <w:pPr>
        <w:pStyle w:val="FirstParagraph"/>
      </w:pPr>
      <w:r>
        <w:t xml:space="preserve">The same benchmark quantifies the curve trade-off:</w:t>
      </w:r>
      <w:r>
        <w:t xml:space="preserve"> </w:t>
      </w:r>
      <w:r>
        <w:rPr>
          <w:b/>
        </w:rPr>
        <w:t xml:space="preserve">BLS12-381</w:t>
      </w:r>
      <w:r>
        <w:t xml:space="preserve"> </w:t>
      </w:r>
      <w:r>
        <w:t xml:space="preserve">(~128-bit margin) costs roughly</w:t>
      </w:r>
      <w:r>
        <w:t xml:space="preserve"> </w:t>
      </w:r>
      <w:r>
        <w:rPr>
          <w:b/>
        </w:rPr>
        <w:t xml:space="preserve">2× the prove and setup time and +49 %</w:t>
      </w:r>
      <w:r>
        <w:rPr>
          <w:b/>
        </w:rPr>
        <w:t xml:space="preserve"> </w:t>
      </w:r>
      <w:r>
        <w:rPr>
          <w:b/>
        </w:rPr>
        <w:t xml:space="preserve">proof size (164 → 244 B)</w:t>
      </w:r>
      <w:r>
        <w:t xml:space="preserve"> </w:t>
      </w:r>
      <w:r>
        <w:t xml:space="preserve">versus</w:t>
      </w:r>
      <w:r>
        <w:t xml:space="preserve"> </w:t>
      </w:r>
      <w:r>
        <w:rPr>
          <w:b/>
        </w:rPr>
        <w:t xml:space="preserve">BN254</w:t>
      </w:r>
      <w:r>
        <w:t xml:space="preserve"> </w:t>
      </w:r>
      <w:r>
        <w:t xml:space="preserve">(~100-bit margin), with</w:t>
      </w:r>
      <w:r>
        <w:t xml:space="preserve"> </w:t>
      </w:r>
      <w:r>
        <w:t xml:space="preserve">~25 % slower verify. Because SPT-Txn proofs are</w:t>
      </w:r>
      <w:r>
        <w:t xml:space="preserve"> </w:t>
      </w:r>
      <w:r>
        <w:rPr>
          <w:b/>
        </w:rPr>
        <w:t xml:space="preserve">ephemeral</w:t>
      </w:r>
      <w:r>
        <w:t xml:space="preserve">, verified</w:t>
      </w:r>
      <w:r>
        <w:t xml:space="preserve"> </w:t>
      </w:r>
      <w:r>
        <w:t xml:space="preserve">once and discarded within the 30-second token lifetime, a ~100-bit</w:t>
      </w:r>
      <w:r>
        <w:t xml:space="preserve"> </w:t>
      </w:r>
      <w:r>
        <w:rPr>
          <w:i/>
        </w:rPr>
        <w:t xml:space="preserve">classical</w:t>
      </w:r>
      <w:r>
        <w:t xml:space="preserve"> </w:t>
      </w:r>
      <w:r>
        <w:t xml:space="preserve">attack on a proof whose value has already expired is not a</w:t>
      </w:r>
      <w:r>
        <w:t xml:space="preserve"> </w:t>
      </w:r>
      <w:r>
        <w:t xml:space="preserve">realistic threat, and BN254 additionally offers EVM precompile</w:t>
      </w:r>
      <w:r>
        <w:t xml:space="preserve"> </w:t>
      </w:r>
      <w:r>
        <w:t xml:space="preserve">compatibility. We therefore default to</w:t>
      </w:r>
      <w:r>
        <w:t xml:space="preserve"> </w:t>
      </w:r>
      <w:r>
        <w:rPr>
          <w:b/>
        </w:rPr>
        <w:t xml:space="preserve">BN254</w:t>
      </w:r>
      <w:r>
        <w:t xml:space="preserve">, exposing</w:t>
      </w:r>
      <w:r>
        <w:t xml:space="preserve"> </w:t>
      </w:r>
      <w:r>
        <w:rPr>
          <w:b/>
        </w:rPr>
        <w:t xml:space="preserve">BLS12-381</w:t>
      </w:r>
      <w:r>
        <w:rPr>
          <w:b/>
        </w:rPr>
        <w:t xml:space="preserve"> </w:t>
      </w:r>
      <w:r>
        <w:rPr>
          <w:b/>
        </w:rPr>
        <w:t xml:space="preserve">as a configurable high-assurance option</w:t>
      </w:r>
      <w:r>
        <w:t xml:space="preserve">. Both are pairing curves and</w:t>
      </w:r>
      <w:r>
        <w:t xml:space="preserve"> </w:t>
      </w:r>
      <w:r>
        <w:rPr>
          <w:b/>
        </w:rPr>
        <w:t xml:space="preserve">neither is post-quantum</w:t>
      </w:r>
      <w:r>
        <w:t xml:space="preserve"> </w:t>
      </w:r>
      <w:r>
        <w:t xml:space="preserve">(§5.6); the curve choice is a</w:t>
      </w:r>
      <w:r>
        <w:t xml:space="preserve"> </w:t>
      </w:r>
      <w:r>
        <w:t xml:space="preserve">classical-margin / performance trade-off, not a quantum one.</w:t>
      </w:r>
    </w:p>
    <w:p>
      <w:pPr>
        <w:pStyle w:val="Heading2"/>
      </w:pPr>
      <w:bookmarkStart w:id="45" w:name="proving-system-groth16-vs-plonk"/>
      <w:r>
        <w:t xml:space="preserve">5.4 Proving system: Groth16 vs PLONK</w:t>
      </w:r>
      <w:bookmarkEnd w:id="45"/>
    </w:p>
    <w:p>
      <w:pPr>
        <w:pStyle w:val="FirstParagraph"/>
      </w:pPr>
      <w:r>
        <w:t xml:space="preserve">Groth16 gives the smallest, constant-size proofs (3 group elements) and</w:t>
      </w:r>
      <w:r>
        <w:t xml:space="preserve"> </w:t>
      </w:r>
      <w:r>
        <w:t xml:space="preserve">fastest verify, at the cost of a</w:t>
      </w:r>
      <w:r>
        <w:t xml:space="preserve"> </w:t>
      </w:r>
      <w:r>
        <w:rPr>
          <w:b/>
        </w:rPr>
        <w:t xml:space="preserve">per-circuit trusted setup</w:t>
      </w:r>
      <w:r>
        <w:t xml:space="preserve">, itself a</w:t>
      </w:r>
      <w:r>
        <w:t xml:space="preserve"> </w:t>
      </w:r>
      <w:r>
        <w:t xml:space="preserve">trust assumption and an operational burden (the benchmark’s 1–4 minute</w:t>
      </w:r>
      <w:r>
        <w:t xml:space="preserve"> </w:t>
      </w:r>
      <w:r>
        <w:t xml:space="preserve">setups are per circuit). gnark also supports</w:t>
      </w:r>
      <w:r>
        <w:t xml:space="preserve"> </w:t>
      </w:r>
      <w:r>
        <w:rPr>
          <w:b/>
        </w:rPr>
        <w:t xml:space="preserve">PLONK</w:t>
      </w:r>
      <w:r>
        <w:t xml:space="preserve">, whose universal</w:t>
      </w:r>
      <w:r>
        <w:t xml:space="preserve"> </w:t>
      </w:r>
      <w:r>
        <w:t xml:space="preserve">/ updatable setup amortizes one ceremony across all circuits, reducing</w:t>
      </w:r>
      <w:r>
        <w:t xml:space="preserve"> </w:t>
      </w:r>
      <w:r>
        <w:t xml:space="preserve">the trusted-setup attack surface without leaving the toolchain. We</w:t>
      </w:r>
      <w:r>
        <w:t xml:space="preserve"> </w:t>
      </w:r>
      <w:r>
        <w:t xml:space="preserve">retain Groth16 for the POC (smallest proofs, mature) and document PLONK</w:t>
      </w:r>
      <w:r>
        <w:t xml:space="preserve"> </w:t>
      </w:r>
      <w:r>
        <w:t xml:space="preserve">as the migration lever when reducing trusted-setup risk outweighs</w:t>
      </w:r>
      <w:r>
        <w:t xml:space="preserve"> </w:t>
      </w:r>
      <w:r>
        <w:t xml:space="preserve">proof-size; this is independent of the post-quantum question.</w:t>
      </w:r>
    </w:p>
    <w:p>
      <w:pPr>
        <w:pStyle w:val="Heading2"/>
      </w:pPr>
      <w:bookmarkStart w:id="46" w:name="selective-disclosure-and-escrow"/>
      <w:r>
        <w:t xml:space="preserve">5.5 Selective disclosure and escrow</w:t>
      </w:r>
      <w:bookmarkEnd w:id="46"/>
    </w:p>
    <w:p>
      <w:pPr>
        <w:pStyle w:val="FirstParagraph"/>
      </w:pPr>
      <w:r>
        <w:t xml:space="preserve">Compliance claims are carried in an</w:t>
      </w:r>
      <w:r>
        <w:t xml:space="preserve"> </w:t>
      </w:r>
      <w:r>
        <w:rPr>
          <w:b/>
        </w:rPr>
        <w:t xml:space="preserve">SD-JWT</w:t>
      </w:r>
      <w:r>
        <w:t xml:space="preserve"> </w:t>
      </w:r>
      <w:r>
        <w:t xml:space="preserve">(selective disclosure): a</w:t>
      </w:r>
      <w:r>
        <w:t xml:space="preserve"> </w:t>
      </w:r>
      <w:r>
        <w:t xml:space="preserve">surname can be revealed to a regulator while the given name, amount, and</w:t>
      </w:r>
      <w:r>
        <w:t xml:space="preserve"> </w:t>
      </w:r>
      <w:r>
        <w:t xml:space="preserve">other fields stay hidden, each disclosed or withheld independently. The</w:t>
      </w:r>
      <w:r>
        <w:t xml:space="preserve"> </w:t>
      </w:r>
      <w:r>
        <w:t xml:space="preserve">lawful-access</w:t>
      </w:r>
      <w:r>
        <w:t xml:space="preserve"> </w:t>
      </w:r>
      <w:r>
        <w:rPr>
          <w:b/>
        </w:rPr>
        <w:t xml:space="preserve">escrow</w:t>
      </w:r>
      <w:r>
        <w:t xml:space="preserve"> </w:t>
      </w:r>
      <w:r>
        <w:t xml:space="preserve">envelope (deanonymization under quorum / lawful</w:t>
      </w:r>
      <w:r>
        <w:t xml:space="preserve"> </w:t>
      </w:r>
      <w:r>
        <w:t xml:space="preserve">process only) currently uses X25519/ECIES; its migration target is</w:t>
      </w:r>
      <w:r>
        <w:t xml:space="preserve"> </w:t>
      </w:r>
      <w:r>
        <w:t xml:space="preserve">ML-KEM-768 (§5.6).</w:t>
      </w:r>
    </w:p>
    <w:p>
      <w:pPr>
        <w:pStyle w:val="Heading2"/>
      </w:pPr>
      <w:bookmarkStart w:id="47" w:name="X6b768a6d56bf90cb55ce5563f2fa2b94e77bf6d"/>
      <w:r>
        <w:t xml:space="preserve">5.6 Post-quantum migration (triaged by lifetime)</w:t>
      </w:r>
      <w:bookmarkEnd w:id="47"/>
    </w:p>
    <w:p>
      <w:pPr>
        <w:pStyle w:val="FirstParagraph"/>
      </w:pPr>
      <w:r>
        <w:t xml:space="preserve">NIST finalized the PQC suite in 2024,</w:t>
      </w:r>
      <w:r>
        <w:t xml:space="preserve"> </w:t>
      </w:r>
      <w:r>
        <w:rPr>
          <w:b/>
        </w:rPr>
        <w:t xml:space="preserve">FIPS 203 ML-KEM</w:t>
      </w:r>
      <w:r>
        <w:t xml:space="preserve">,</w:t>
      </w:r>
      <w:r>
        <w:t xml:space="preserve"> </w:t>
      </w:r>
      <w:r>
        <w:rPr>
          <w:b/>
        </w:rPr>
        <w:t xml:space="preserve">FIPS 204</w:t>
      </w:r>
      <w:r>
        <w:rPr>
          <w:b/>
        </w:rPr>
        <w:t xml:space="preserve"> </w:t>
      </w:r>
      <w:r>
        <w:rPr>
          <w:b/>
        </w:rPr>
        <w:t xml:space="preserve">ML-DSA</w:t>
      </w:r>
      <w:r>
        <w:t xml:space="preserve">,</w:t>
      </w:r>
      <w:r>
        <w:t xml:space="preserve"> </w:t>
      </w:r>
      <w:r>
        <w:rPr>
          <w:b/>
        </w:rPr>
        <w:t xml:space="preserve">FIPS 205 SLH-DSA</w:t>
      </w:r>
      <w:r>
        <w:t xml:space="preserve">, and the accepted transition is</w:t>
      </w:r>
      <w:r>
        <w:t xml:space="preserve"> </w:t>
      </w:r>
      <w:r>
        <w:rPr>
          <w:b/>
        </w:rPr>
        <w:t xml:space="preserve">hybrid</w:t>
      </w:r>
      <w:r>
        <w:t xml:space="preserve"> </w:t>
      </w:r>
      <w:r>
        <w:t xml:space="preserve">(classical ∥ PQC, secure if either holds). US Executive Order</w:t>
      </w:r>
      <w:r>
        <w:t xml:space="preserve"> </w:t>
      </w:r>
      <w:r>
        <w:t xml:space="preserve">14409 (2026-06-22) makes this a deadline-bearing federal mandate</w:t>
      </w:r>
      <w:r>
        <w:t xml:space="preserve"> </w:t>
      </w:r>
      <w:r>
        <w:t xml:space="preserve">(sensitive-system encryption by 2030, PQ authentication by 2031,</w:t>
      </w:r>
      <w:r>
        <w:t xml:space="preserve"> </w:t>
      </w:r>
      <w:r>
        <w:t xml:space="preserve">contractor FIPS by 2030) and directs CBOM guidance.</w:t>
      </w:r>
    </w:p>
    <w:p>
      <w:pPr>
        <w:pStyle w:val="BodyText"/>
      </w:pPr>
      <w:r>
        <w:t xml:space="preserve">We triage by</w:t>
      </w:r>
      <w:r>
        <w:t xml:space="preserve"> </w:t>
      </w:r>
      <w:r>
        <w:rPr>
          <w:b/>
        </w:rPr>
        <w:t xml:space="preserve">data lifetime</w:t>
      </w:r>
      <w:r>
        <w:t xml:space="preserve">, because a future quantum adversary</w:t>
      </w:r>
      <w:r>
        <w:t xml:space="preserve"> </w:t>
      </w:r>
      <w:r>
        <w:t xml:space="preserve">cannot retroactively forge a proof or token whose value already expired: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High priority, long-lived / retained.</w:t>
      </w:r>
      <w:r>
        <w:t xml:space="preserve"> </w:t>
      </w:r>
      <w:r>
        <w:t xml:space="preserve">Ed25519 on the</w:t>
      </w:r>
      <w:r>
        <w:t xml:space="preserve"> </w:t>
      </w:r>
      <w:r>
        <w:rPr>
          <w:b/>
        </w:rPr>
        <w:t xml:space="preserve">CAT</w:t>
      </w:r>
      <w:r>
        <w:t xml:space="preserve">,</w:t>
      </w:r>
      <w:r>
        <w:t xml:space="preserve"> </w:t>
      </w:r>
      <w:r>
        <w:rPr>
          <w:b/>
        </w:rPr>
        <w:t xml:space="preserve">registry / trust-anchor roots</w:t>
      </w:r>
      <w:r>
        <w:t xml:space="preserve">, and the</w:t>
      </w:r>
      <w:r>
        <w:t xml:space="preserve"> </w:t>
      </w:r>
      <w:r>
        <w:rPr>
          <w:b/>
        </w:rPr>
        <w:t xml:space="preserve">audit log</w:t>
      </w:r>
      <w:r>
        <w:t xml:space="preserve">;</w:t>
      </w:r>
      <w:r>
        <w:t xml:space="preserve"> </w:t>
      </w:r>
      <w:r>
        <w:t xml:space="preserve">X25519/ECIES on the</w:t>
      </w:r>
      <w:r>
        <w:t xml:space="preserve"> </w:t>
      </w:r>
      <w:r>
        <w:rPr>
          <w:b/>
        </w:rPr>
        <w:t xml:space="preserve">escrow</w:t>
      </w:r>
      <w:r>
        <w:t xml:space="preserve"> </w:t>
      </w:r>
      <w:r>
        <w:t xml:space="preserve">(5–7 yr retention; classic</w:t>
      </w:r>
      <w:r>
        <w:t xml:space="preserve"> </w:t>
      </w:r>
      <w:r>
        <w:t xml:space="preserve">harvest-now-decrypt-later). Migrate to</w:t>
      </w:r>
      <w:r>
        <w:t xml:space="preserve"> </w:t>
      </w:r>
      <w:r>
        <w:rPr>
          <w:b/>
        </w:rPr>
        <w:t xml:space="preserve">hybrid Ed25519 +</w:t>
      </w:r>
      <w:r>
        <w:rPr>
          <w:b/>
        </w:rPr>
        <w:t xml:space="preserve"> </w:t>
      </w:r>
      <w:r>
        <w:rPr>
          <w:b/>
        </w:rPr>
        <w:t xml:space="preserve">ML-DSA-65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hybrid X25519 + ML-KEM-768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Low priority, ephemeral.</w:t>
      </w:r>
      <w:r>
        <w:t xml:space="preserve"> </w:t>
      </w:r>
      <w:r>
        <w:t xml:space="preserve">Ed25519 on the</w:t>
      </w:r>
      <w:r>
        <w:t xml:space="preserve"> </w:t>
      </w:r>
      <w:r>
        <w:rPr>
          <w:b/>
        </w:rPr>
        <w:t xml:space="preserve">30-second SPT-Txn</w:t>
      </w:r>
      <w:r>
        <w:rPr>
          <w:b/>
        </w:rPr>
        <w:t xml:space="preserve"> </w:t>
      </w:r>
      <w:r>
        <w:rPr>
          <w:b/>
        </w:rPr>
        <w:t xml:space="preserve">token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</w:rPr>
        <w:t xml:space="preserve">Groth16 proofs</w:t>
      </w:r>
      <w:r>
        <w:t xml:space="preserve">, migrate later.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PQ-OK already.</w:t>
      </w:r>
      <w:r>
        <w:t xml:space="preserve"> </w:t>
      </w:r>
      <w:r>
        <w:t xml:space="preserve">AES-256-GCM (NIST level 1); Poseidon2/SHA-256</w:t>
      </w:r>
      <w:r>
        <w:t xml:space="preserve"> </w:t>
      </w:r>
      <w:r>
        <w:t xml:space="preserve">(Grover-only).</w:t>
      </w:r>
    </w:p>
    <w:p>
      <w:pPr>
        <w:pStyle w:val="FirstParagraph"/>
      </w:pPr>
      <w:r>
        <w:t xml:space="preserve">Migration is enabled by</w:t>
      </w:r>
      <w:r>
        <w:t xml:space="preserve"> </w:t>
      </w:r>
      <w:r>
        <w:rPr>
          <w:b/>
        </w:rPr>
        <w:t xml:space="preserve">crypto-agility</w:t>
      </w:r>
      <w:r>
        <w:t xml:space="preserve">: algorithm identifiers travel</w:t>
      </w:r>
      <w:r>
        <w:t xml:space="preserve"> </w:t>
      </w:r>
      <w:r>
        <w:t xml:space="preserve">in every token / attestation, and the Trust Registry, not the token</w:t>
      </w:r>
      <w:r>
        <w:t xml:space="preserve"> </w:t>
      </w:r>
      <w:r>
        <w:t xml:space="preserve">header, governs which algorithm a verifier accepts</w:t>
      </w:r>
      <w:r>
        <w:t xml:space="preserve"> </w:t>
      </w:r>
      <w:r>
        <w:t xml:space="preserve">(downgrade-resistant), so a hybrid suite rolls per-issuer without a flag</w:t>
      </w:r>
      <w:r>
        <w:t xml:space="preserve"> </w:t>
      </w:r>
      <w:r>
        <w:t xml:space="preserve">day. The MiMC → Poseidon2 migration (§5.2) is the proof-of-concept: a</w:t>
      </w:r>
      <w:r>
        <w:t xml:space="preserve"> </w:t>
      </w:r>
      <w:r>
        <w:t xml:space="preserve">two-file, matched native/in-circuit change.</w:t>
      </w:r>
    </w:p>
    <w:p>
      <w:pPr>
        <w:pStyle w:val="BodyText"/>
      </w:pPr>
      <w:r>
        <w:rPr>
          <w:b/>
        </w:rPr>
        <w:t xml:space="preserve">PQ-ZK is a roadmap, scoped honestly.</w:t>
      </w:r>
      <w:r>
        <w:t xml:space="preserve"> </w:t>
      </w:r>
      <w:r>
        <w:t xml:space="preserve">Groth16/BN254 is pairing-based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not post-quantum</w:t>
      </w:r>
      <w:r>
        <w:t xml:space="preserve">. Transparent, post-quantum proving exists,</w:t>
      </w:r>
      <w:r>
        <w:t xml:space="preserve"> </w:t>
      </w:r>
      <w:r>
        <w:t xml:space="preserve">STARKs (hash-based, no trusted setup) and lattice SNARKs (LaBRADOR,</w:t>
      </w:r>
      <w:r>
        <w:t xml:space="preserve"> </w:t>
      </w:r>
      <w:r>
        <w:t xml:space="preserve">Greyhound), but in different toolchains, with larger proofs and far less</w:t>
      </w:r>
      <w:r>
        <w:t xml:space="preserve"> </w:t>
      </w:r>
      <w:r>
        <w:t xml:space="preserve">audit history. Because the proofs are ephemeral, migrating now would</w:t>
      </w:r>
      <w:r>
        <w:t xml:space="preserve"> </w:t>
      </w:r>
      <w:r>
        <w:t xml:space="preserve">trade a fast, well-audited system for an immature one to defend a threat</w:t>
      </w:r>
      <w:r>
        <w:t xml:space="preserve"> </w:t>
      </w:r>
      <w:r>
        <w:t xml:space="preserve">the proofs do not face. We therefore state explicit</w:t>
      </w:r>
      <w:r>
        <w:t xml:space="preserve"> </w:t>
      </w:r>
      <w:r>
        <w:rPr>
          <w:b/>
        </w:rPr>
        <w:t xml:space="preserve">migration</w:t>
      </w:r>
      <w:r>
        <w:rPr>
          <w:b/>
        </w:rPr>
        <w:t xml:space="preserve"> </w:t>
      </w:r>
      <w:r>
        <w:rPr>
          <w:b/>
        </w:rPr>
        <w:t xml:space="preserve">triggers</w:t>
      </w:r>
      <w:r>
        <w:t xml:space="preserve"> </w:t>
      </w:r>
      <w:r>
        <w:t xml:space="preserve">(proofs requiring long-term retention; maturation and audit</w:t>
      </w:r>
      <w:r>
        <w:t xml:space="preserve"> </w:t>
      </w:r>
      <w:r>
        <w:t xml:space="preserve">of a PQ-ZK stack; regulatory requirement) rather than a premature</w:t>
      </w:r>
      <w:r>
        <w:t xml:space="preserve"> </w:t>
      </w:r>
      <w:r>
        <w:t xml:space="preserve">rip-and-replace.</w:t>
      </w:r>
    </w:p>
    <w:p>
      <w:pPr>
        <w:pStyle w:val="Heading2"/>
      </w:pPr>
      <w:bookmarkStart w:id="48" w:name="cryptographic-bill-of-materials"/>
      <w:r>
        <w:t xml:space="preserve">5.7 Cryptographic Bill of Materials</w:t>
      </w:r>
      <w:bookmarkEnd w:id="48"/>
    </w:p>
    <w:p>
      <w:pPr>
        <w:pStyle w:val="FirstParagraph"/>
      </w:pPr>
      <w:r>
        <w:t xml:space="preserve">The full inventory, every primitive, where used, classical / quantum</w:t>
      </w:r>
      <w:r>
        <w:t xml:space="preserve"> </w:t>
      </w:r>
      <w:r>
        <w:t xml:space="preserve">status, and migration target, is published as a</w:t>
      </w:r>
      <w:r>
        <w:t xml:space="preserve"> </w:t>
      </w:r>
      <w:r>
        <w:rPr>
          <w:b/>
        </w:rPr>
        <w:t xml:space="preserve">CycloneDX 1.6 CBOM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docs/cbom.json</w:t>
      </w:r>
      <w:r>
        <w:t xml:space="preserve">, human-readable</w:t>
      </w:r>
      <w:r>
        <w:t xml:space="preserve"> </w:t>
      </w:r>
      <w:r>
        <w:rPr>
          <w:rStyle w:val="VerbatimChar"/>
        </w:rPr>
        <w:t xml:space="preserve">docs/CBOM.md</w:t>
      </w:r>
      <w:r>
        <w:t xml:space="preserve">), aligned to EO</w:t>
      </w:r>
      <w:r>
        <w:t xml:space="preserve"> </w:t>
      </w:r>
      <w:r>
        <w:t xml:space="preserve">14409’s CBOM mandate. It is a</w:t>
      </w:r>
      <w:r>
        <w:t xml:space="preserve"> </w:t>
      </w:r>
      <w:r>
        <w:rPr>
          <w:i/>
        </w:rPr>
        <w:t xml:space="preserve">have-and-provide</w:t>
      </w:r>
      <w:r>
        <w:t xml:space="preserve"> </w:t>
      </w:r>
      <w:r>
        <w:t xml:space="preserve">artifact: available to</w:t>
      </w:r>
      <w:r>
        <w:t xml:space="preserve"> </w:t>
      </w:r>
      <w:r>
        <w:t xml:space="preserve">partners and reviewers on request rather than broadcast</w:t>
      </w:r>
      <w:r>
        <w:t xml:space="preserve"> </w:t>
      </w:r>
      <w:r>
        <w:t xml:space="preserve">(§disclosure-posture), since for an open-source system it reveals</w:t>
      </w:r>
      <w:r>
        <w:t xml:space="preserve"> </w:t>
      </w:r>
      <w:r>
        <w:t xml:space="preserve">nothing the source does not, but the commercial posture keeps the public</w:t>
      </w:r>
      <w:r>
        <w:t xml:space="preserve"> </w:t>
      </w:r>
      <w:r>
        <w:t xml:space="preserve">surface to a one-line attestation.</w:t>
      </w:r>
    </w:p>
    <w:p>
      <w:pPr>
        <w:pStyle w:val="Heading1"/>
      </w:pPr>
      <w:bookmarkStart w:id="49" w:name="Xd0841a9fb103742d213f938e865f60847af2a54"/>
      <w:r>
        <w:t xml:space="preserve">6. Privacy-preserving FATF Travel Rule (deployed)</w:t>
      </w:r>
      <w:bookmarkEnd w:id="49"/>
    </w:p>
    <w:p>
      <w:pPr>
        <w:pStyle w:val="FirstParagraph"/>
      </w:pPr>
      <w:r>
        <w:t xml:space="preserve">The FATF Travel Rule (Recommendation 16) requires that originator and</w:t>
      </w:r>
      <w:r>
        <w:t xml:space="preserve"> </w:t>
      </w:r>
      <w:r>
        <w:t xml:space="preserve">beneficiary identity travel between VASPs for qualifying virtual-asset</w:t>
      </w:r>
      <w:r>
        <w:t xml:space="preserve"> </w:t>
      </w:r>
      <w:r>
        <w:t xml:space="preserve">transfers. The two dominant protocols carry that data differently:</w:t>
      </w:r>
      <w:r>
        <w:t xml:space="preserve"> </w:t>
      </w:r>
      <w:r>
        <w:rPr>
          <w:b/>
        </w:rPr>
        <w:t xml:space="preserve">TRISA</w:t>
      </w:r>
      <w:r>
        <w:t xml:space="preserve"> </w:t>
      </w:r>
      <w:r>
        <w:t xml:space="preserve">(gRPC, protocol buffers) seals it in per-message encrypted</w:t>
      </w:r>
      <w:r>
        <w:t xml:space="preserve"> </w:t>
      </w:r>
      <w:r>
        <w:t xml:space="preserve">Secure Envelopes;</w:t>
      </w:r>
      <w:r>
        <w:t xml:space="preserve"> </w:t>
      </w:r>
      <w:r>
        <w:rPr>
          <w:b/>
        </w:rPr>
        <w:t xml:space="preserve">OpenVASP TRP</w:t>
      </w:r>
      <w:r>
        <w:t xml:space="preserve"> </w:t>
      </w:r>
      <w:r>
        <w:t xml:space="preserve">(HTTPS/JSON) relies on</w:t>
      </w:r>
      <w:r>
        <w:t xml:space="preserve"> </w:t>
      </w:r>
      <w:r>
        <w:t xml:space="preserve">transport-level mTLS and ships the IVMS101 identity in cleartext to the</w:t>
      </w:r>
      <w:r>
        <w:t xml:space="preserve"> </w:t>
      </w:r>
      <w:r>
        <w:t xml:space="preserve">counterparty. TRP’s gap is decisive for privacy: once the JSON arrives,</w:t>
      </w:r>
      <w:r>
        <w:t xml:space="preserve"> </w:t>
      </w:r>
      <w:r>
        <w:t xml:space="preserve">the receiving VASP holds the full PII, a standing breach liability and a</w:t>
      </w:r>
      <w:r>
        <w:t xml:space="preserve"> </w:t>
      </w:r>
      <w:r>
        <w:t xml:space="preserve">tension with data-minimisation law.</w:t>
      </w:r>
    </w:p>
    <w:p>
      <w:pPr>
        <w:pStyle w:val="BodyText"/>
      </w:pPr>
      <w:r>
        <w:t xml:space="preserve">SPT-Txn closes that gap with a</w:t>
      </w:r>
      <w:r>
        <w:t xml:space="preserve"> </w:t>
      </w:r>
      <w:r>
        <w:rPr>
          <w:b/>
        </w:rPr>
        <w:t xml:space="preserve">payload-level zero-knowledge</w:t>
      </w:r>
      <w:r>
        <w:rPr>
          <w:b/>
        </w:rPr>
        <w:t xml:space="preserve"> </w:t>
      </w:r>
      <w:r>
        <w:rPr>
          <w:b/>
        </w:rPr>
        <w:t xml:space="preserve">attestation</w:t>
      </w:r>
      <w:r>
        <w:t xml:space="preserve"> </w:t>
      </w:r>
      <w:r>
        <w:t xml:space="preserve">rather than trusted decryption. Instead of shipping the</w:t>
      </w:r>
      <w:r>
        <w:t xml:space="preserve"> </w:t>
      </w:r>
      <w:r>
        <w:t xml:space="preserve">identity, the originator ships:</w:t>
      </w:r>
    </w:p>
    <w:p>
      <w:pPr>
        <w:numPr>
          <w:ilvl w:val="0"/>
          <w:numId w:val="1005"/>
        </w:numPr>
        <w:pStyle w:val="Compact"/>
      </w:pPr>
      <w:r>
        <w:t xml:space="preserve">the IVMS101 fields as a selectively disclosable</w:t>
      </w:r>
      <w:r>
        <w:t xml:space="preserve"> </w:t>
      </w:r>
      <w:r>
        <w:rPr>
          <w:b/>
        </w:rPr>
        <w:t xml:space="preserve">SD-JWT</w:t>
      </w:r>
      <w:r>
        <w:t xml:space="preserve"> </w:t>
      </w:r>
      <w:r>
        <w:t xml:space="preserve">(reveal a</w:t>
      </w:r>
      <w:r>
        <w:t xml:space="preserve"> </w:t>
      </w:r>
      <w:r>
        <w:t xml:space="preserve">surname to a regulator; keep the given name, account, and amount</w:t>
      </w:r>
      <w:r>
        <w:t xml:space="preserve"> </w:t>
      </w:r>
      <w:r>
        <w:t xml:space="preserve">hidden); and</w:t>
      </w:r>
    </w:p>
    <w:p>
      <w:pPr>
        <w:numPr>
          <w:ilvl w:val="0"/>
          <w:numId w:val="1005"/>
        </w:numPr>
        <w:pStyle w:val="Compact"/>
      </w:pPr>
      <w:r>
        <w:t xml:space="preserve">three</w:t>
      </w:r>
      <w:r>
        <w:t xml:space="preserve"> </w:t>
      </w:r>
      <w:r>
        <w:rPr>
          <w:b/>
        </w:rPr>
        <w:t xml:space="preserve">Groth16 predicates</w:t>
      </w:r>
      <w:r>
        <w:t xml:space="preserve"> </w:t>
      </w:r>
      <w:r>
        <w:t xml:space="preserve">bound to the specific payment via its</w:t>
      </w:r>
      <w:r>
        <w:t xml:space="preserve"> </w:t>
      </w:r>
      <w:r>
        <w:t xml:space="preserve">transaction-context hash: identity-commitment (the humanAnchor),</w:t>
      </w:r>
      <w:r>
        <w:t xml:space="preserve"> </w:t>
      </w:r>
      <w:r>
        <w:t xml:space="preserve">amount ≥ the reporting threshold (amount hidden), and</w:t>
      </w:r>
      <w:r>
        <w:t xml:space="preserve"> </w:t>
      </w:r>
      <w:r>
        <w:t xml:space="preserve">beneficiary-VASP registration (which VASP hidden).</w:t>
      </w:r>
    </w:p>
    <w:p>
      <w:pPr>
        <w:pStyle w:val="FirstParagraph"/>
      </w:pPr>
      <w:r>
        <w:t xml:space="preserve">The beneficiary learns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this transfer is reportable, between registered</w:t>
      </w:r>
      <w:r>
        <w:rPr>
          <w:i/>
        </w:rPr>
        <w:t xml:space="preserve"> </w:t>
      </w:r>
      <w:r>
        <w:rPr>
          <w:i/>
        </w:rPr>
        <w:t xml:space="preserve">VASPs, with an authenticated originator</w:t>
      </w:r>
      <w:r>
        <w:rPr>
          <w:i/>
        </w:rPr>
        <w:t xml:space="preserve">”</w:t>
      </w:r>
      <w:r>
        <w:t xml:space="preserve"> </w:t>
      </w:r>
      <w:r>
        <w:t xml:space="preserve">without receiving the amount</w:t>
      </w:r>
      <w:r>
        <w:t xml:space="preserve"> </w:t>
      </w:r>
      <w:r>
        <w:t xml:space="preserve">or the identity fields it is not entitled to. Identity is carried in the</w:t>
      </w:r>
      <w:r>
        <w:t xml:space="preserve"> </w:t>
      </w:r>
      <w:r>
        <w:rPr>
          <w:b/>
        </w:rPr>
        <w:t xml:space="preserve">IVMS101</w:t>
      </w:r>
      <w:r>
        <w:t xml:space="preserve"> </w:t>
      </w:r>
      <w:r>
        <w:t xml:space="preserve">data model (the standard TRISA and TRP share), so the</w:t>
      </w:r>
      <w:r>
        <w:t xml:space="preserve"> </w:t>
      </w:r>
      <w:r>
        <w:t xml:space="preserve">attestation interoperates with existing networks.</w:t>
      </w:r>
    </w:p>
    <w:p>
      <w:pPr>
        <w:pStyle w:val="BodyText"/>
      </w:pPr>
      <w:r>
        <w:rPr>
          <w:b/>
        </w:rPr>
        <w:t xml:space="preserve">Topology and policy.</w:t>
      </w:r>
      <w:r>
        <w:t xml:space="preserve"> </w:t>
      </w:r>
      <w:r>
        <w:t xml:space="preserve">Originator and beneficiary run as</w:t>
      </w:r>
      <w:r>
        <w:t xml:space="preserve"> </w:t>
      </w:r>
      <w:r>
        <w:rPr>
          <w:b/>
        </w:rPr>
        <w:t xml:space="preserve">separate</w:t>
      </w:r>
      <w:r>
        <w:rPr>
          <w:b/>
        </w:rPr>
        <w:t xml:space="preserve"> </w:t>
      </w:r>
      <w:r>
        <w:rPr>
          <w:b/>
        </w:rPr>
        <w:t xml:space="preserve">services</w:t>
      </w:r>
      <w:r>
        <w:t xml:space="preserve">: the originator holds the proving keys; the beneficiary holds</w:t>
      </w:r>
      <w:r>
        <w:t xml:space="preserve"> </w:t>
      </w:r>
      <w:r>
        <w:rPr>
          <w:b/>
        </w:rPr>
        <w:t xml:space="preserve">only the verifying key</w:t>
      </w:r>
      <w:r>
        <w:t xml:space="preserve">, it can check an attestation but cannot forge</w:t>
      </w:r>
      <w:r>
        <w:t xml:space="preserve"> </w:t>
      </w:r>
      <w:r>
        <w:t xml:space="preserve">one. A transfer with no SPT-Txn attestation (a plain-IVMS101 cleartext</w:t>
      </w:r>
      <w:r>
        <w:t xml:space="preserve"> </w:t>
      </w:r>
      <w:r>
        <w:t xml:space="preserve">TRP transfer) is</w:t>
      </w:r>
      <w:r>
        <w:t xml:space="preserve"> </w:t>
      </w:r>
      <w:r>
        <w:rPr>
          <w:b/>
        </w:rPr>
        <w:t xml:space="preserve">refused</w:t>
      </w:r>
      <w:r>
        <w:t xml:space="preserve">, this VASP requires payload-level privacy,</w:t>
      </w:r>
      <w:r>
        <w:t xml:space="preserve"> </w:t>
      </w:r>
      <w:r>
        <w:t xml:space="preserve">not optionally. A</w:t>
      </w:r>
      <w:r>
        <w:t xml:space="preserve"> </w:t>
      </w:r>
      <w:r>
        <w:rPr>
          <w:b/>
        </w:rPr>
        <w:t xml:space="preserve">TRISA bridge</w:t>
      </w:r>
      <w:r>
        <w:t xml:space="preserve"> </w:t>
      </w:r>
      <w:r>
        <w:t xml:space="preserve">is designed (map the attestation into</w:t>
      </w:r>
      <w:r>
        <w:t xml:space="preserve"> </w:t>
      </w:r>
      <w:r>
        <w:t xml:space="preserve">a Secure Envelope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, sealed to the recipient via KeyExchange /</w:t>
      </w:r>
      <w:r>
        <w:t xml:space="preserve"> </w:t>
      </w:r>
      <w:r>
        <w:t xml:space="preserve">GDS), giving defence in depth: zero-knowledge for what the counterparty</w:t>
      </w:r>
      <w:r>
        <w:t xml:space="preserve"> </w:t>
      </w:r>
      <w:r>
        <w:t xml:space="preserve">may compute, sealing for confidentiality at rest.</w:t>
      </w:r>
    </w:p>
    <w:p>
      <w:pPr>
        <w:pStyle w:val="BodyText"/>
      </w:pPr>
      <w:r>
        <w:rPr>
          <w:b/>
        </w:rPr>
        <w:t xml:space="preserve">Deployed.</w:t>
      </w:r>
      <w:r>
        <w:t xml:space="preserve"> </w:t>
      </w:r>
      <w:r>
        <w:t xml:space="preserve">This runs today on the reference host: two OpenBSD</w:t>
      </w:r>
      <w:r>
        <w:t xml:space="preserve"> </w:t>
      </w:r>
      <w:r>
        <w:rPr>
          <w:rStyle w:val="VerbatimChar"/>
        </w:rPr>
        <w:t xml:space="preserve">rc.d</w:t>
      </w:r>
      <w:r>
        <w:t xml:space="preserve"> </w:t>
      </w:r>
      <w:r>
        <w:t xml:space="preserve">services (originator + beneficiary) behind relayd TLS, exchanging an</w:t>
      </w:r>
      <w:r>
        <w:t xml:space="preserve"> </w:t>
      </w:r>
      <w:r>
        <w:t xml:space="preserve">attestation over a real TRP hop; the beneficiary returns</w:t>
      </w:r>
      <w:r>
        <w:t xml:space="preserve"> </w:t>
      </w:r>
      <w:r>
        <w:rPr>
          <w:i/>
        </w:rPr>
        <w:t xml:space="preserve">approved</w:t>
      </w:r>
      <w:r>
        <w:t xml:space="preserve"> </w:t>
      </w:r>
      <w:r>
        <w:t xml:space="preserve">disclosing only the surname and currency, with the amount and other</w:t>
      </w:r>
      <w:r>
        <w:t xml:space="preserve"> </w:t>
      </w:r>
      <w:r>
        <w:t xml:space="preserve">fields never transmitted. (</w:t>
      </w:r>
      <w:r>
        <w:rPr>
          <w:rStyle w:val="VerbatimChar"/>
        </w:rPr>
        <w:t xml:space="preserve">internal/trp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internal/travelrule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internal/ivms101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internal/vaspregistry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cmd/tr-svc</w:t>
      </w:r>
      <w:r>
        <w:t xml:space="preserve">; see</w:t>
      </w:r>
      <w:r>
        <w:t xml:space="preserve"> </w:t>
      </w:r>
      <w:r>
        <w:rPr>
          <w:rStyle w:val="VerbatimChar"/>
        </w:rPr>
        <w:t xml:space="preserve">docs/TRP-TRISA-INTEROP.md</w:t>
      </w:r>
      <w:r>
        <w:t xml:space="preserve">.)</w:t>
      </w:r>
    </w:p>
    <w:p>
      <w:pPr>
        <w:pStyle w:val="Heading1"/>
      </w:pPr>
      <w:bookmarkStart w:id="50" w:name="security-and-threat-model"/>
      <w:r>
        <w:t xml:space="preserve">7. Security and threat model</w:t>
      </w:r>
      <w:bookmarkEnd w:id="50"/>
    </w:p>
    <w:p>
      <w:pPr>
        <w:pStyle w:val="Heading2"/>
      </w:pPr>
      <w:bookmarkStart w:id="51" w:name="adversaries-and-assets"/>
      <w:r>
        <w:t xml:space="preserve">7.1 Adversaries and assets</w:t>
      </w:r>
      <w:bookmarkEnd w:id="51"/>
    </w:p>
    <w:p>
      <w:pPr>
        <w:pStyle w:val="FirstParagraph"/>
      </w:pPr>
      <w:r>
        <w:t xml:space="preserve">Protected assets: the issuer signing keys (the root of the capability</w:t>
      </w:r>
      <w:r>
        <w:t xml:space="preserve"> </w:t>
      </w:r>
      <w:r>
        <w:t xml:space="preserve">chain), the subject’s identity / PII, and the integrity of the</w:t>
      </w:r>
      <w:r>
        <w:t xml:space="preserve"> </w:t>
      </w:r>
      <w:r>
        <w:t xml:space="preserve">authorization chain. Adversaries considered: a network attacker on the</w:t>
      </w:r>
      <w:r>
        <w:t xml:space="preserve"> </w:t>
      </w:r>
      <w:r>
        <w:t xml:space="preserve">inter-VASP path; a malicious or curious counterparty / verifier; a</w:t>
      </w:r>
      <w:r>
        <w:t xml:space="preserve"> </w:t>
      </w:r>
      <w:r>
        <w:t xml:space="preserve">compromised individual service; a curious attribute oracle or directory;</w:t>
      </w:r>
      <w:r>
        <w:t xml:space="preserve"> </w:t>
      </w:r>
      <w:r>
        <w:t xml:space="preserve">and a coerced issuer.</w:t>
      </w:r>
    </w:p>
    <w:p>
      <w:pPr>
        <w:pStyle w:val="Heading2"/>
      </w:pPr>
      <w:bookmarkStart w:id="52" w:name="per-layer"/>
      <w:r>
        <w:t xml:space="preserve">7.2 Per-layer</w:t>
      </w:r>
      <w:bookmarkEnd w:id="52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Token chain.</w:t>
      </w:r>
      <w:r>
        <w:t xml:space="preserve"> </w:t>
      </w:r>
      <w:r>
        <w:t xml:space="preserve">Scope can only narrow (CT ⊆ parent enforced</w:t>
      </w:r>
      <w:r>
        <w:t xml:space="preserve"> </w:t>
      </w:r>
      <w:r>
        <w:t xml:space="preserve">cryptographically at every hop); delegation depth is bounded; the</w:t>
      </w:r>
      <w:r>
        <w:t xml:space="preserve"> </w:t>
      </w:r>
      <w:r>
        <w:t xml:space="preserve">humanAnchor is immutable; the SPT-Txn token is bound to one</w:t>
      </w:r>
      <w:r>
        <w:t xml:space="preserve"> </w:t>
      </w:r>
      <w:r>
        <w:t xml:space="preserve">transaction context and sender-constrained (DPoP), so a captured</w:t>
      </w:r>
      <w:r>
        <w:t xml:space="preserve"> </w:t>
      </w:r>
      <w:r>
        <w:t xml:space="preserve">token+proof is non-replayable (denied at enforcement step 5). The</w:t>
      </w:r>
      <w:r>
        <w:t xml:space="preserve"> </w:t>
      </w:r>
      <w:r>
        <w:t xml:space="preserve">eight-step engine verifies the chain</w:t>
      </w:r>
      <w:r>
        <w:t xml:space="preserve"> </w:t>
      </w:r>
      <w:r>
        <w:rPr>
          <w:b/>
        </w:rPr>
        <w:t xml:space="preserve">offline</w:t>
      </w:r>
      <w:r>
        <w:t xml:space="preserve">, no issuer contact,</w:t>
      </w:r>
      <w:r>
        <w:t xml:space="preserve"> </w:t>
      </w:r>
      <w:r>
        <w:t xml:space="preserve">fail closed.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Attribute oracle / discovery.</w:t>
      </w:r>
      <w:r>
        <w:t xml:space="preserve"> </w:t>
      </w:r>
      <w:r>
        <w:t xml:space="preserve">Volatile attributes are re-proven</w:t>
      </w:r>
      <w:r>
        <w:t xml:space="preserve"> </w:t>
      </w:r>
      <w:r>
        <w:t xml:space="preserve">against the oracle’s</w:t>
      </w:r>
      <w:r>
        <w:t xml:space="preserve"> </w:t>
      </w:r>
      <w:r>
        <w:rPr>
          <w:i/>
        </w:rPr>
        <w:t xml:space="preserve">committed</w:t>
      </w:r>
      <w:r>
        <w:t xml:space="preserve"> </w:t>
      </w:r>
      <w:r>
        <w:t xml:space="preserve">state under a max-proof-age; blind,</w:t>
      </w:r>
      <w:r>
        <w:t xml:space="preserve"> </w:t>
      </w:r>
      <w:r>
        <w:t xml:space="preserve">OdoH / DECO-style queries (§4.4) hide the query graph from the</w:t>
      </w:r>
      <w:r>
        <w:t xml:space="preserve"> </w:t>
      </w:r>
      <w:r>
        <w:t xml:space="preserve">oracle.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Escrow.</w:t>
      </w:r>
      <w:r>
        <w:t xml:space="preserve"> </w:t>
      </w:r>
      <w:r>
        <w:t xml:space="preserve">Re-identification is possible only via the escrow path,</w:t>
      </w:r>
      <w:r>
        <w:t xml:space="preserve"> </w:t>
      </w:r>
      <w:r>
        <w:t xml:space="preserve">under quorum / lawful process; the envelope uses a fresh ephemeral</w:t>
      </w:r>
      <w:r>
        <w:t xml:space="preserve"> </w:t>
      </w:r>
      <w:r>
        <w:t xml:space="preserve">X25519 per seal, a random nonce, and AAD binding</w:t>
      </w:r>
      <w:r>
        <w:t xml:space="preserve"> </w:t>
      </w:r>
      <w:r>
        <w:rPr>
          <w:rStyle w:val="VerbatimChar"/>
        </w:rPr>
        <w:t xml:space="preserve">anchor|iss|iat</w:t>
      </w:r>
      <w:r>
        <w:t xml:space="preserve">;</w:t>
      </w:r>
      <w:r>
        <w:t xml:space="preserve"> </w:t>
      </w:r>
      <w:r>
        <w:t xml:space="preserve">deanonymization requests carry a freshness window and replay guard.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Registry / discovery root.</w:t>
      </w:r>
      <w:r>
        <w:t xml:space="preserve"> </w:t>
      </w:r>
      <w:r>
        <w:t xml:space="preserve">Issuer authorization is a registry</w:t>
      </w:r>
      <w:r>
        <w:t xml:space="preserve"> </w:t>
      </w:r>
      <w:r>
        <w:t xml:space="preserve">lookup, not a query about the subject; the registrar rejects</w:t>
      </w:r>
      <w:r>
        <w:t xml:space="preserve"> </w:t>
      </w:r>
      <w:r>
        <w:t xml:space="preserve">malformed and all-zero keys; registration is served only on an</w:t>
      </w:r>
      <w:r>
        <w:t xml:space="preserve"> </w:t>
      </w:r>
      <w:r>
        <w:t xml:space="preserve">owner-only admin socket, never the edge.</w:t>
      </w:r>
    </w:p>
    <w:p>
      <w:pPr>
        <w:pStyle w:val="Heading2"/>
      </w:pPr>
      <w:bookmarkStart w:id="53" w:name="platform-hardening-openbsd-reference"/>
      <w:r>
        <w:t xml:space="preserve">7.3 Platform hardening (OpenBSD reference)</w:t>
      </w:r>
      <w:bookmarkEnd w:id="53"/>
    </w:p>
    <w:p>
      <w:pPr>
        <w:pStyle w:val="FirstParagraph"/>
      </w:pPr>
      <w:r>
        <w:t xml:space="preserve">Every service applies real</w:t>
      </w:r>
      <w:r>
        <w:t xml:space="preserve"> </w:t>
      </w:r>
      <w:r>
        <w:rPr>
          <w:rStyle w:val="VerbatimChar"/>
        </w:rPr>
        <w:t xml:space="preserve">pledge(2)</w:t>
      </w:r>
      <w:r>
        <w:t xml:space="preserve"> </w:t>
      </w:r>
      <w:r>
        <w:t xml:space="preserve">(syscall-set restriction) and</w:t>
      </w:r>
      <w:r>
        <w:t xml:space="preserve"> </w:t>
      </w:r>
      <w:r>
        <w:rPr>
          <w:rStyle w:val="VerbatimChar"/>
        </w:rPr>
        <w:t xml:space="preserve">unveil(2)</w:t>
      </w:r>
      <w:r>
        <w:t xml:space="preserve"> </w:t>
      </w:r>
      <w:r>
        <w:t xml:space="preserve">(filesystem restriction), e.g. the issuer can read only</w:t>
      </w:r>
      <w:r>
        <w:t xml:space="preserve"> </w:t>
      </w:r>
      <w:r>
        <w:t xml:space="preserve">its own key path, runs under a dedicated least-privilege user, sits</w:t>
      </w:r>
      <w:r>
        <w:t xml:space="preserve"> </w:t>
      </w:r>
      <w:r>
        <w:t xml:space="preserve">behind relayd TLS with a deny-by-default protocol, and uses OpenBSD</w:t>
      </w:r>
      <w:r>
        <w:t xml:space="preserve"> </w:t>
      </w:r>
      <w:r>
        <w:rPr>
          <w:rStyle w:val="VerbatimChar"/>
        </w:rPr>
        <w:t xml:space="preserve">signify</w:t>
      </w:r>
      <w:r>
        <w:t xml:space="preserve"> </w:t>
      </w:r>
      <w:r>
        <w:t xml:space="preserve">keys (the loader rejects encrypted or checksum-invalid keys).</w:t>
      </w:r>
      <w:r>
        <w:t xml:space="preserve"> </w:t>
      </w:r>
      <w:r>
        <w:t xml:space="preserve">A repeatable host audit (</w:t>
      </w:r>
      <w:r>
        <w:rPr>
          <w:rStyle w:val="VerbatimChar"/>
        </w:rPr>
        <w:t xml:space="preserve">scripts/security-audit.sh</w:t>
      </w:r>
      <w:r>
        <w:t xml:space="preserve">) reports</w:t>
      </w:r>
      <w:r>
        <w:t xml:space="preserve"> </w:t>
      </w:r>
      <w:r>
        <w:rPr>
          <w:b/>
        </w:rPr>
        <w:t xml:space="preserve">FAIL=0</w:t>
      </w:r>
      <w:r>
        <w:t xml:space="preserve">. The Go code is OS-portable (pledge/unveil is build-tagged);</w:t>
      </w:r>
      <w:r>
        <w:t xml:space="preserve"> </w:t>
      </w:r>
      <w:r>
        <w:t xml:space="preserve">the production-Linux equivalents are seccomp-bpf (≈ pledge) and Landlock</w:t>
      </w:r>
      <w:r>
        <w:t xml:space="preserve"> </w:t>
      </w:r>
      <w:r>
        <w:t xml:space="preserve">(≈ unveil).</w:t>
      </w:r>
    </w:p>
    <w:p>
      <w:pPr>
        <w:pStyle w:val="Heading2"/>
      </w:pPr>
      <w:bookmarkStart w:id="54" w:name="known-limitations"/>
      <w:r>
        <w:t xml:space="preserve">7.4 Known limitations</w:t>
      </w:r>
      <w:bookmarkEnd w:id="54"/>
    </w:p>
    <w:p>
      <w:pPr>
        <w:pStyle w:val="FirstParagraph"/>
      </w:pPr>
      <w:r>
        <w:t xml:space="preserve">Per the full review (</w:t>
      </w:r>
      <w:r>
        <w:rPr>
          <w:rStyle w:val="VerbatimChar"/>
        </w:rPr>
        <w:t xml:space="preserve">docs/SECURITY-REVIEW.md</w:t>
      </w:r>
      <w:r>
        <w:t xml:space="preserve">), all Critical and High</w:t>
      </w:r>
      <w:r>
        <w:t xml:space="preserve"> </w:t>
      </w:r>
      <w:r>
        <w:t xml:space="preserve">findings are fixed and verified. Deferred, bounded items:</w:t>
      </w:r>
      <w:r>
        <w:t xml:space="preserve"> </w:t>
      </w:r>
      <w:r>
        <w:rPr>
          <w:b/>
        </w:rPr>
        <w:t xml:space="preserve">key</w:t>
      </w:r>
      <w:r>
        <w:rPr>
          <w:b/>
        </w:rPr>
        <w:t xml:space="preserve"> </w:t>
      </w:r>
      <w:r>
        <w:rPr>
          <w:b/>
        </w:rPr>
        <w:t xml:space="preserve">encryption-at-rest</w:t>
      </w:r>
      <w:r>
        <w:t xml:space="preserve"> </w:t>
      </w:r>
      <w:r>
        <w:t xml:space="preserve">(keys are</w:t>
      </w:r>
      <w:r>
        <w:t xml:space="preserve"> </w:t>
      </w:r>
      <w:r>
        <w:rPr>
          <w:rStyle w:val="VerbatimChar"/>
        </w:rPr>
        <w:t xml:space="preserve">0400</w:t>
      </w:r>
      <w:r>
        <w:t xml:space="preserve">/ unveil-confined but</w:t>
      </w:r>
      <w:r>
        <w:t xml:space="preserve"> </w:t>
      </w:r>
      <w:r>
        <w:t xml:space="preserve">unencrypted, fix via softraid / LUKS+TPM, HSM, or FROST);</w:t>
      </w:r>
      <w:r>
        <w:t xml:space="preserve"> </w:t>
      </w:r>
      <w:r>
        <w:rPr>
          <w:b/>
        </w:rPr>
        <w:t xml:space="preserve">Trust</w:t>
      </w:r>
      <w:r>
        <w:rPr>
          <w:b/>
        </w:rPr>
        <w:t xml:space="preserve"> </w:t>
      </w:r>
      <w:r>
        <w:rPr>
          <w:b/>
        </w:rPr>
        <w:t xml:space="preserve">Registry persistence</w:t>
      </w:r>
      <w:r>
        <w:t xml:space="preserve"> </w:t>
      </w:r>
      <w:r>
        <w:t xml:space="preserve">(the mock registry reverts to revoked</w:t>
      </w:r>
      <w:r>
        <w:t xml:space="preserve"> </w:t>
      </w:r>
      <w:r>
        <w:t xml:space="preserve">placeholders on restart, an interim re-registration script is in place);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</w:rPr>
        <w:t xml:space="preserve">trusted-setup risk</w:t>
      </w:r>
      <w:r>
        <w:t xml:space="preserve"> </w:t>
      </w:r>
      <w:r>
        <w:t xml:space="preserve">inherent to Groth16 (mitigated by PLONK /</w:t>
      </w:r>
      <w:r>
        <w:t xml:space="preserve"> </w:t>
      </w:r>
      <w:r>
        <w:t xml:space="preserve">transparent options, §5.4). Production assurance is closed by an</w:t>
      </w:r>
      <w:r>
        <w:t xml:space="preserve"> </w:t>
      </w:r>
      <w:r>
        <w:rPr>
          <w:b/>
        </w:rPr>
        <w:t xml:space="preserve">independent ZK-circuit + protocol audit</w:t>
      </w:r>
      <w:r>
        <w:t xml:space="preserve">, not by self-assertion.</w:t>
      </w:r>
    </w:p>
    <w:p>
      <w:pPr>
        <w:pStyle w:val="Heading2"/>
      </w:pPr>
      <w:bookmarkStart w:id="55" w:name="assumptions"/>
      <w:r>
        <w:t xml:space="preserve">7.5 Assumptions</w:t>
      </w:r>
      <w:bookmarkEnd w:id="55"/>
    </w:p>
    <w:p>
      <w:pPr>
        <w:pStyle w:val="FirstParagraph"/>
      </w:pPr>
      <w:r>
        <w:t xml:space="preserve">Soundness of the proving system and its parameters; honesty (or</w:t>
      </w:r>
      <w:r>
        <w:t xml:space="preserve"> </w:t>
      </w:r>
      <w:r>
        <w:t xml:space="preserve">multi-issuer attestation) of credential issuers, ZK cannot defend</w:t>
      </w:r>
      <w:r>
        <w:t xml:space="preserve"> </w:t>
      </w:r>
      <w:r>
        <w:t xml:space="preserve">against a coerced issuer fabricating credentials; secure-enclave</w:t>
      </w:r>
      <w:r>
        <w:t xml:space="preserve"> </w:t>
      </w:r>
      <w:r>
        <w:t xml:space="preserve">integrity for biometric uniqueness; and an honest-quorum for escrow</w:t>
      </w:r>
      <w:r>
        <w:t xml:space="preserve"> </w:t>
      </w:r>
      <w:r>
        <w:t xml:space="preserve">deanonymization.</w:t>
      </w:r>
    </w:p>
    <w:p>
      <w:pPr>
        <w:pStyle w:val="Heading1"/>
      </w:pPr>
      <w:bookmarkStart w:id="56" w:name="related-work-and-differentiation"/>
      <w:r>
        <w:t xml:space="preserve">8. Related work and differentiation</w:t>
      </w:r>
      <w:bookmarkEnd w:id="56"/>
    </w:p>
    <w:p>
      <w:pPr>
        <w:pStyle w:val="FirstParagraph"/>
      </w:pPr>
      <w:r>
        <w:rPr>
          <w:b/>
        </w:rPr>
        <w:t xml:space="preserve">Foundations SPT-Txn composes.</w:t>
      </w:r>
      <w:r>
        <w:t xml:space="preserve"> </w:t>
      </w:r>
      <w:r>
        <w:t xml:space="preserve">Self-sovereign identity and W3C</w:t>
      </w:r>
      <w:r>
        <w:t xml:space="preserve"> </w:t>
      </w:r>
      <w:r>
        <w:t xml:space="preserve">Verifiable Credentials / DID Core give user-controlled,</w:t>
      </w:r>
      <w:r>
        <w:t xml:space="preserve"> </w:t>
      </w:r>
      <w:r>
        <w:t xml:space="preserve">privacy-preserving identity but no on-line policy enforcement or</w:t>
      </w:r>
      <w:r>
        <w:t xml:space="preserve"> </w:t>
      </w:r>
      <w:r>
        <w:t xml:space="preserve">transaction binding; object-capability security (Biscuit, Macaroons)</w:t>
      </w:r>
      <w:r>
        <w:t xml:space="preserve"> </w:t>
      </w:r>
      <w:r>
        <w:t xml:space="preserve">gives scoped, delegable authority but no identity provenance; the OAuth</w:t>
      </w:r>
      <w:r>
        <w:t xml:space="preserve"> </w:t>
      </w:r>
      <w:r>
        <w:t xml:space="preserve">Transaction Tokens work gives transaction-scoped tokens but no</w:t>
      </w:r>
      <w:r>
        <w:t xml:space="preserve"> </w:t>
      </w:r>
      <w:r>
        <w:t xml:space="preserve">compliance semantics; anonymous credentials (BBS+, AnonCreds) and</w:t>
      </w:r>
      <w:r>
        <w:t xml:space="preserve"> </w:t>
      </w:r>
      <w:r>
        <w:t xml:space="preserve">soulbound tokens give unlinkable attributes but no composed ABAC /</w:t>
      </w:r>
      <w:r>
        <w:t xml:space="preserve"> </w:t>
      </w:r>
      <w:r>
        <w:t xml:space="preserve">enforcement chain. SPT-Txn’s contribution is the</w:t>
      </w:r>
      <w:r>
        <w:t xml:space="preserve"> </w:t>
      </w:r>
      <w:r>
        <w:rPr>
          <w:i/>
        </w:rPr>
        <w:t xml:space="preserve">composition</w:t>
      </w:r>
      <w:r>
        <w:t xml:space="preserve"> </w:t>
      </w:r>
      <w:r>
        <w:t xml:space="preserve">of these</w:t>
      </w:r>
      <w:r>
        <w:t xml:space="preserve"> </w:t>
      </w:r>
      <w:r>
        <w:t xml:space="preserve">into one offline-verifiable, accountable chain.</w:t>
      </w:r>
    </w:p>
    <w:p>
      <w:pPr>
        <w:pStyle w:val="BodyText"/>
      </w:pPr>
      <w:r>
        <w:rPr>
          <w:b/>
        </w:rPr>
        <w:t xml:space="preserve">vs DNA Protocol and XRPL ZK-identity.</w:t>
      </w:r>
      <w:r>
        <w:t xml:space="preserve"> </w:t>
      </w:r>
      <w:r>
        <w:t xml:space="preserve">Recent XRPL-adjacent</w:t>
      </w:r>
      <w:r>
        <w:t xml:space="preserve"> </w:t>
      </w:r>
      <w:r>
        <w:t xml:space="preserve">ZK-identity work (e.g. DNA Protocol) is consumer / genomic identity,</w:t>
      </w:r>
      <w:r>
        <w:t xml:space="preserve"> </w:t>
      </w:r>
      <w:r>
        <w:rPr>
          <w:b/>
        </w:rPr>
        <w:t xml:space="preserve">token-gated</w:t>
      </w:r>
      <w:r>
        <w:t xml:space="preserve"> </w:t>
      </w:r>
      <w:r>
        <w:t xml:space="preserve">(a native token is consumed to generate proofs) and</w:t>
      </w:r>
      <w:r>
        <w:t xml:space="preserve"> </w:t>
      </w:r>
      <w:r>
        <w:t xml:space="preserve">built on its</w:t>
      </w:r>
      <w:r>
        <w:t xml:space="preserve"> </w:t>
      </w:r>
      <w:r>
        <w:rPr>
          <w:b/>
        </w:rPr>
        <w:t xml:space="preserve">own chain</w:t>
      </w:r>
      <w:r>
        <w:t xml:space="preserve"> </w:t>
      </w:r>
      <w:r>
        <w:t xml:space="preserve">bridged to XRPL. SPT-Txn differs on three</w:t>
      </w:r>
      <w:r>
        <w:t xml:space="preserve"> </w:t>
      </w:r>
      <w:r>
        <w:t xml:space="preserve">axes that matter for institutional adoption:</w:t>
      </w:r>
      <w:r>
        <w:t xml:space="preserve"> </w:t>
      </w:r>
      <w:r>
        <w:rPr>
          <w:b/>
        </w:rPr>
        <w:t xml:space="preserve">no native token</w:t>
      </w:r>
      <w:r>
        <w:t xml:space="preserve"> </w:t>
      </w:r>
      <w:r>
        <w:t xml:space="preserve">(proofs</w:t>
      </w:r>
      <w:r>
        <w:t xml:space="preserve"> </w:t>
      </w:r>
      <w:r>
        <w:t xml:space="preserve">run on the VASP’s own infrastructure),</w:t>
      </w:r>
      <w:r>
        <w:t xml:space="preserve"> </w:t>
      </w:r>
      <w:r>
        <w:rPr>
          <w:b/>
        </w:rPr>
        <w:t xml:space="preserve">blockchain-agnostic</w:t>
      </w:r>
      <w:r>
        <w:t xml:space="preserve"> </w:t>
      </w:r>
      <w:r>
        <w:t xml:space="preserve">(no new</w:t>
      </w:r>
      <w:r>
        <w:t xml:space="preserve"> </w:t>
      </w:r>
      <w:r>
        <w:t xml:space="preserve">chain; XRPL is a target behind an adapter), and</w:t>
      </w:r>
      <w:r>
        <w:t xml:space="preserve"> </w:t>
      </w:r>
      <w:r>
        <w:rPr>
          <w:b/>
        </w:rPr>
        <w:t xml:space="preserve">compliance-first</w:t>
      </w:r>
      <w:r>
        <w:t xml:space="preserve"> </w:t>
      </w:r>
      <w:r>
        <w:t xml:space="preserve">(complements FATF / regulation rather than an anti-institutional</w:t>
      </w:r>
      <w:r>
        <w:t xml:space="preserve"> </w:t>
      </w:r>
      <w:r>
        <w:t xml:space="preserve">sovereignty pitch). On post-quantum, competitors advertise</w:t>
      </w:r>
      <w:r>
        <w:t xml:space="preserve"> </w:t>
      </w:r>
      <w:r>
        <w:t xml:space="preserve">“</w:t>
      </w:r>
      <w:r>
        <w:t xml:space="preserve">quantum-ready</w:t>
      </w:r>
      <w:r>
        <w:t xml:space="preserve">”</w:t>
      </w:r>
      <w:r>
        <w:t xml:space="preserve">; SPT-Txn instead states a</w:t>
      </w:r>
      <w:r>
        <w:t xml:space="preserve"> </w:t>
      </w:r>
      <w:r>
        <w:rPr>
          <w:i/>
        </w:rPr>
        <w:t xml:space="preserve">measured</w:t>
      </w:r>
      <w:r>
        <w:t xml:space="preserve"> </w:t>
      </w:r>
      <w:r>
        <w:t xml:space="preserve">hybrid migration</w:t>
      </w:r>
      <w:r>
        <w:t xml:space="preserve"> </w:t>
      </w:r>
      <w:r>
        <w:t xml:space="preserve">(§5.6) and is explicit that pairing-based Groth16 is not yet PQ, a more</w:t>
      </w:r>
      <w:r>
        <w:t xml:space="preserve"> </w:t>
      </w:r>
      <w:r>
        <w:t xml:space="preserve">defensible claim now that EO 14409 makes</w:t>
      </w:r>
      <w:r>
        <w:t xml:space="preserve"> </w:t>
      </w:r>
      <w:r>
        <w:t xml:space="preserve">“</w:t>
      </w:r>
      <w:r>
        <w:t xml:space="preserve">post-quantum</w:t>
      </w:r>
      <w:r>
        <w:t xml:space="preserve">”</w:t>
      </w:r>
      <w:r>
        <w:t xml:space="preserve"> </w:t>
      </w:r>
      <w:r>
        <w:t xml:space="preserve">a checkable</w:t>
      </w:r>
      <w:r>
        <w:t xml:space="preserve"> </w:t>
      </w:r>
      <w:r>
        <w:t xml:space="preserve">assertion.</w:t>
      </w:r>
    </w:p>
    <w:p>
      <w:pPr>
        <w:pStyle w:val="BodyText"/>
      </w:pPr>
      <w:r>
        <w:rPr>
          <w:b/>
        </w:rPr>
        <w:t xml:space="preserve">vs git-id (MyNextID), complementary, not competing.</w:t>
      </w:r>
      <w:r>
        <w:t xml:space="preserve"> </w:t>
      </w:r>
      <w:r>
        <w:t xml:space="preserve">git-id</w:t>
      </w:r>
      <w:r>
        <w:t xml:space="preserve"> </w:t>
      </w:r>
      <w:r>
        <w:t xml:space="preserve">answers</w:t>
      </w:r>
      <w:r>
        <w:t xml:space="preserve"> </w:t>
      </w:r>
      <w:r>
        <w:rPr>
          <w:i/>
        </w:rPr>
        <w:t xml:space="preserve">who an agent is</w:t>
      </w:r>
      <w:r>
        <w:t xml:space="preserve">; SPT-Txn answers</w:t>
      </w:r>
      <w:r>
        <w:t xml:space="preserve"> </w:t>
      </w:r>
      <w:r>
        <w:rPr>
          <w:i/>
        </w:rPr>
        <w:t xml:space="preserve">what it may do</w:t>
      </w:r>
      <w:r>
        <w:t xml:space="preserve"> </w:t>
      </w:r>
      <w:r>
        <w:t xml:space="preserve">in a</w:t>
      </w:r>
      <w:r>
        <w:t xml:space="preserve"> </w:t>
      </w:r>
      <w:r>
        <w:t xml:space="preserve">specific transaction. The gaps git-id leaves, no proof-of-possession, no</w:t>
      </w:r>
      <w:r>
        <w:t xml:space="preserve"> </w:t>
      </w:r>
      <w:r>
        <w:t xml:space="preserve">cryptographic owner → agent binding, no transaction binding, are exactly</w:t>
      </w:r>
      <w:r>
        <w:t xml:space="preserve"> </w:t>
      </w:r>
      <w:r>
        <w:t xml:space="preserve">what SPT-Txn’s transaction-binding (TB) property and humanAnchor close.</w:t>
      </w:r>
      <w:r>
        <w:t xml:space="preserve"> </w:t>
      </w:r>
      <w:r>
        <w:t xml:space="preserve">The natural composition: resolve agent identity via git-id → issue an</w:t>
      </w:r>
      <w:r>
        <w:t xml:space="preserve"> </w:t>
      </w:r>
      <w:r>
        <w:t xml:space="preserve">SPT-Txn-scoped capability → enforce with the eight-step engine.</w:t>
      </w:r>
    </w:p>
    <w:p>
      <w:pPr>
        <w:pStyle w:val="BodyText"/>
      </w:pPr>
      <w:r>
        <w:rPr>
          <w:b/>
        </w:rPr>
        <w:t xml:space="preserve">NIST alignment.</w:t>
      </w:r>
      <w:r>
        <w:t xml:space="preserve"> </w:t>
      </w:r>
      <w:r>
        <w:t xml:space="preserve">SPT-Txn is the cryptographic primitive several NIST</w:t>
      </w:r>
      <w:r>
        <w:t xml:space="preserve"> </w:t>
      </w:r>
      <w:r>
        <w:t xml:space="preserve">frameworks assume but do not specify:</w:t>
      </w:r>
      <w:r>
        <w:t xml:space="preserve"> </w:t>
      </w:r>
      <w:r>
        <w:rPr>
          <w:b/>
        </w:rPr>
        <w:t xml:space="preserve">IR 8587</w:t>
      </w:r>
      <w:r>
        <w:t xml:space="preserve"> </w:t>
      </w:r>
      <w:r>
        <w:t xml:space="preserve">(protecting tokens /</w:t>
      </w:r>
      <w:r>
        <w:t xml:space="preserve"> </w:t>
      </w:r>
      <w:r>
        <w:t xml:space="preserve">assertions from forgery, theft, and misuse, the most direct fit,</w:t>
      </w:r>
      <w:r>
        <w:t xml:space="preserve"> </w:t>
      </w:r>
      <w:r>
        <w:t xml:space="preserve">incl. demonstrated proof-of-possession and global revocation),</w:t>
      </w:r>
      <w:r>
        <w:t xml:space="preserve"> </w:t>
      </w:r>
      <w:r>
        <w:rPr>
          <w:b/>
        </w:rPr>
        <w:t xml:space="preserve">SP</w:t>
      </w:r>
      <w:r>
        <w:rPr>
          <w:b/>
        </w:rPr>
        <w:t xml:space="preserve"> </w:t>
      </w:r>
      <w:r>
        <w:rPr>
          <w:b/>
        </w:rPr>
        <w:t xml:space="preserve">800-207</w:t>
      </w:r>
      <w:r>
        <w:t xml:space="preserve"> </w:t>
      </w:r>
      <w:r>
        <w:t xml:space="preserve">(Zero Trust, per-transaction binding the PE / PA / PEP</w:t>
      </w:r>
      <w:r>
        <w:t xml:space="preserve"> </w:t>
      </w:r>
      <w:r>
        <w:t xml:space="preserve">model presumes),</w:t>
      </w:r>
      <w:r>
        <w:t xml:space="preserve"> </w:t>
      </w:r>
      <w:r>
        <w:rPr>
          <w:b/>
        </w:rPr>
        <w:t xml:space="preserve">SP 800-204</w:t>
      </w:r>
      <w:r>
        <w:t xml:space="preserve"> </w:t>
      </w:r>
      <w:r>
        <w:t xml:space="preserve">series (microservices ABAC over JWTs),</w:t>
      </w:r>
      <w:r>
        <w:t xml:space="preserve"> </w:t>
      </w:r>
      <w:r>
        <w:rPr>
          <w:b/>
        </w:rPr>
        <w:t xml:space="preserve">SP 800-63</w:t>
      </w:r>
      <w:r>
        <w:t xml:space="preserve"> </w:t>
      </w:r>
      <w:r>
        <w:t xml:space="preserve">(digital identity / privacy), and</w:t>
      </w:r>
      <w:r>
        <w:t xml:space="preserve"> </w:t>
      </w:r>
      <w:r>
        <w:rPr>
          <w:b/>
        </w:rPr>
        <w:t xml:space="preserve">SP 800-162</w:t>
      </w:r>
      <w:r>
        <w:t xml:space="preserve"> </w:t>
      </w:r>
      <w:r>
        <w:t xml:space="preserve">(ABAC).</w:t>
      </w:r>
      <w:r>
        <w:t xml:space="preserve"> </w:t>
      </w:r>
      <w:r>
        <w:t xml:space="preserve">The Travel Rule layer interoperates with</w:t>
      </w:r>
      <w:r>
        <w:t xml:space="preserve"> </w:t>
      </w:r>
      <w:r>
        <w:rPr>
          <w:b/>
        </w:rPr>
        <w:t xml:space="preserve">TRISA</w:t>
      </w:r>
      <w:r>
        <w:t xml:space="preserve">,</w:t>
      </w:r>
      <w:r>
        <w:t xml:space="preserve"> </w:t>
      </w:r>
      <w:r>
        <w:rPr>
          <w:b/>
        </w:rPr>
        <w:t xml:space="preserve">OpenVASP TRP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IVMS101</w:t>
      </w:r>
      <w:r>
        <w:t xml:space="preserve">.</w:t>
      </w:r>
    </w:p>
    <w:p>
      <w:pPr>
        <w:pStyle w:val="Heading1"/>
      </w:pPr>
      <w:bookmarkStart w:id="57" w:name="regulatory-and-legal-posture-informative"/>
      <w:r>
        <w:t xml:space="preserve">9. Regulatory and legal posture (informative)</w:t>
      </w:r>
      <w:bookmarkEnd w:id="57"/>
    </w:p>
    <w:p>
      <w:pPr>
        <w:pStyle w:val="FirstParagraph"/>
      </w:pPr>
      <w:r>
        <w:rPr>
          <w:i/>
        </w:rPr>
        <w:t xml:space="preserve">This section is informative and not legal advice; classifications are</w:t>
      </w:r>
      <w:r>
        <w:rPr>
          <w:i/>
        </w:rPr>
        <w:t xml:space="preserve"> </w:t>
      </w:r>
      <w:r>
        <w:rPr>
          <w:i/>
        </w:rPr>
        <w:t xml:space="preserve">jurisdiction- and structure-specific and require qualified counsel.</w:t>
      </w:r>
    </w:p>
    <w:p>
      <w:pPr>
        <w:pStyle w:val="BodyText"/>
      </w:pPr>
      <w:r>
        <w:rPr>
          <w:b/>
        </w:rPr>
        <w:t xml:space="preserve">Securities (US Howey).</w:t>
      </w:r>
      <w:r>
        <w:t xml:space="preserve"> </w:t>
      </w:r>
      <w:r>
        <w:t xml:space="preserve">The core primitives are compliance /</w:t>
      </w:r>
      <w:r>
        <w:t xml:space="preserve"> </w:t>
      </w:r>
      <w:r>
        <w:t xml:space="preserve">authorization utilities, a CAT is a signed credential, a CT a scoped</w:t>
      </w:r>
      <w:r>
        <w:t xml:space="preserve"> </w:t>
      </w:r>
      <w:r>
        <w:t xml:space="preserve">access token, an SPT-Txn token a per-transaction record, failing the</w:t>
      </w:r>
      <w:r>
        <w:t xml:space="preserve"> </w:t>
      </w:r>
      <w:r>
        <w:t xml:space="preserve">profit-expectation prong, the practical death blow to a securities</w:t>
      </w:r>
      <w:r>
        <w:t xml:space="preserve"> </w:t>
      </w:r>
      <w:r>
        <w:t xml:space="preserve">argument. The framework introduces</w:t>
      </w:r>
      <w:r>
        <w:t xml:space="preserve"> </w:t>
      </w:r>
      <w:r>
        <w:rPr>
          <w:b/>
        </w:rPr>
        <w:t xml:space="preserve">no native token</w:t>
      </w:r>
      <w:r>
        <w:t xml:space="preserve">. Where a policy</w:t>
      </w:r>
      <w:r>
        <w:t xml:space="preserve"> </w:t>
      </w:r>
      <w:r>
        <w:t xml:space="preserve">is instantiated on-chain (an optional, informative deployment detail),</w:t>
      </w:r>
      <w:r>
        <w:t xml:space="preserve"> </w:t>
      </w:r>
      <w:r>
        <w:t xml:space="preserve">it is framed strictly as</w:t>
      </w:r>
      <w:r>
        <w:t xml:space="preserve"> </w:t>
      </w:r>
      <w:r>
        <w:rPr>
          <w:b/>
        </w:rPr>
        <w:t xml:space="preserve">compliance infrastructure, never an</w:t>
      </w:r>
      <w:r>
        <w:rPr>
          <w:b/>
        </w:rPr>
        <w:t xml:space="preserve"> </w:t>
      </w:r>
      <w:r>
        <w:rPr>
          <w:b/>
        </w:rPr>
        <w:t xml:space="preserve">appreciating or yield-bearing asset</w:t>
      </w:r>
      <w:r>
        <w:t xml:space="preserve">; the moment marketing implies</w:t>
      </w:r>
      <w:r>
        <w:t xml:space="preserve"> </w:t>
      </w:r>
      <w:r>
        <w:t xml:space="preserve">investment return, that classification changes.</w:t>
      </w:r>
    </w:p>
    <w:p>
      <w:pPr>
        <w:pStyle w:val="BodyText"/>
      </w:pPr>
      <w:r>
        <w:rPr>
          <w:b/>
        </w:rPr>
        <w:t xml:space="preserve">Money transmission.</w:t>
      </w:r>
      <w:r>
        <w:t xml:space="preserve"> </w:t>
      </w:r>
      <w:r>
        <w:t xml:space="preserve">SPT-Txn operates at the</w:t>
      </w:r>
      <w:r>
        <w:t xml:space="preserve"> </w:t>
      </w:r>
      <w:r>
        <w:rPr>
          <w:b/>
        </w:rPr>
        <w:t xml:space="preserve">authorization layer</w:t>
      </w:r>
      <w:r>
        <w:rPr>
          <w:b/>
        </w:rPr>
        <w:t xml:space="preserve"> </w:t>
      </w:r>
      <w:r>
        <w:rPr>
          <w:b/>
        </w:rPr>
        <w:t xml:space="preserve">and never touches the underlying value transfer</w:t>
      </w:r>
      <w:r>
        <w:t xml:space="preserve"> </w:t>
      </w:r>
      <w:r>
        <w:t xml:space="preserve">(</w:t>
      </w:r>
      <w:r>
        <w:t xml:space="preserve">“</w:t>
      </w:r>
      <w:r>
        <w:t xml:space="preserve">do not touch the</w:t>
      </w:r>
      <w:r>
        <w:t xml:space="preserve"> </w:t>
      </w:r>
      <w:r>
        <w:t xml:space="preserve">money</w:t>
      </w:r>
      <w:r>
        <w:t xml:space="preserve">”</w:t>
      </w:r>
      <w:r>
        <w:t xml:space="preserve">), the safe structural boundary under FinCEN’s MSB framework and</w:t>
      </w:r>
      <w:r>
        <w:t xml:space="preserve"> </w:t>
      </w:r>
      <w:r>
        <w:t xml:space="preserve">state MTL regimes. Commercial fee structures (e.g. KYC-provider network</w:t>
      </w:r>
      <w:r>
        <w:t xml:space="preserve"> </w:t>
      </w:r>
      <w:r>
        <w:t xml:space="preserve">access, policy-template licensing) are designed as</w:t>
      </w:r>
      <w:r>
        <w:t xml:space="preserve"> </w:t>
      </w:r>
      <w:r>
        <w:rPr>
          <w:b/>
        </w:rPr>
        <w:t xml:space="preserve">direct billing</w:t>
      </w:r>
      <w:r>
        <w:t xml:space="preserve">,</w:t>
      </w:r>
      <w:r>
        <w:t xml:space="preserve"> </w:t>
      </w:r>
      <w:r>
        <w:t xml:space="preserve">never as funds passing through the operator, to stay clear of the</w:t>
      </w:r>
      <w:r>
        <w:t xml:space="preserve"> </w:t>
      </w:r>
      <w:r>
        <w:t xml:space="preserve">“</w:t>
      </w:r>
      <w:r>
        <w:t xml:space="preserve">accept-and-transmit</w:t>
      </w:r>
      <w:r>
        <w:t xml:space="preserve">”</w:t>
      </w:r>
      <w:r>
        <w:t xml:space="preserve"> </w:t>
      </w:r>
      <w:r>
        <w:t xml:space="preserve">definition.</w:t>
      </w:r>
    </w:p>
    <w:p>
      <w:pPr>
        <w:pStyle w:val="BodyText"/>
      </w:pPr>
      <w:r>
        <w:rPr>
          <w:b/>
        </w:rPr>
        <w:t xml:space="preserve">Licensing.</w:t>
      </w:r>
      <w:r>
        <w:t xml:space="preserve"> </w:t>
      </w:r>
      <w:r>
        <w:t xml:space="preserve">Depending on activity and jurisdiction,</w:t>
      </w:r>
      <w:r>
        <w:t xml:space="preserve"> </w:t>
      </w:r>
      <w:r>
        <w:rPr>
          <w:b/>
        </w:rPr>
        <w:t xml:space="preserve">VASP</w:t>
      </w:r>
      <w:r>
        <w:rPr>
          <w:b/>
        </w:rPr>
        <w:t xml:space="preserve"> </w:t>
      </w:r>
      <w:r>
        <w:rPr>
          <w:b/>
        </w:rPr>
        <w:t xml:space="preserve">registration</w:t>
      </w:r>
      <w:r>
        <w:t xml:space="preserve"> </w:t>
      </w:r>
      <w:r>
        <w:t xml:space="preserve">(e.g. Cayman Islands under the VASP Act / CIMA) and</w:t>
      </w:r>
      <w:r>
        <w:t xml:space="preserve"> </w:t>
      </w:r>
      <w:r>
        <w:rPr>
          <w:b/>
        </w:rPr>
        <w:t xml:space="preserve">MiCA CASP</w:t>
      </w:r>
      <w:r>
        <w:t xml:space="preserve"> </w:t>
      </w:r>
      <w:r>
        <w:t xml:space="preserve">authorization (EU) may apply to the operating entity; a</w:t>
      </w:r>
      <w:r>
        <w:t xml:space="preserve"> </w:t>
      </w:r>
      <w:r>
        <w:t xml:space="preserve">written legal opinion should precede commercial activity. The</w:t>
      </w:r>
      <w:r>
        <w:t xml:space="preserve"> </w:t>
      </w:r>
      <w:r>
        <w:t xml:space="preserve">framework’s design (no custody, no native asset, authorization-layer</w:t>
      </w:r>
      <w:r>
        <w:t xml:space="preserve"> </w:t>
      </w:r>
      <w:r>
        <w:t xml:space="preserve">only) is intended to minimize, not assert away, these obligations.</w:t>
      </w:r>
    </w:p>
    <w:p>
      <w:pPr>
        <w:pStyle w:val="BodyText"/>
      </w:pPr>
      <w:r>
        <w:rPr>
          <w:b/>
        </w:rPr>
        <w:t xml:space="preserve">AI governance.</w:t>
      </w:r>
      <w:r>
        <w:t xml:space="preserve"> </w:t>
      </w:r>
      <w:r>
        <w:t xml:space="preserve">The immutable humanAnchor provides the cryptographic</w:t>
      </w:r>
      <w:r>
        <w:t xml:space="preserve"> </w:t>
      </w:r>
      <w:r>
        <w:t xml:space="preserve">evidence that a unique, accountable human authorized an AI agent and can</w:t>
      </w:r>
      <w:r>
        <w:t xml:space="preserve"> </w:t>
      </w:r>
      <w:r>
        <w:t xml:space="preserve">be reconstructed under lawful process, the mechanism EU AI Act Article</w:t>
      </w:r>
      <w:r>
        <w:t xml:space="preserve"> </w:t>
      </w:r>
      <w:r>
        <w:t xml:space="preserve">14 (effective human oversight, enforceable August 2026) requires and</w:t>
      </w:r>
      <w:r>
        <w:t xml:space="preserve"> </w:t>
      </w:r>
      <w:r>
        <w:t xml:space="preserve">that no current agent stack provides.</w:t>
      </w:r>
    </w:p>
    <w:p>
      <w:pPr>
        <w:pStyle w:val="BodyText"/>
      </w:pPr>
      <w:r>
        <w:rPr>
          <w:b/>
        </w:rPr>
        <w:t xml:space="preserve">Post-quantum / federal.</w:t>
      </w:r>
      <w:r>
        <w:t xml:space="preserve"> </w:t>
      </w:r>
      <w:r>
        <w:t xml:space="preserve">US Executive Order 14409 (2026) mandates PQC</w:t>
      </w:r>
      <w:r>
        <w:t xml:space="preserve"> </w:t>
      </w:r>
      <w:r>
        <w:t xml:space="preserve">migration (FIPS 203/204/205) and CBOM guidance; SPT-Txn’s crypto-agility</w:t>
      </w:r>
      <w:r>
        <w:t xml:space="preserve"> </w:t>
      </w:r>
      <w:r>
        <w:t xml:space="preserve">and published CBOM (§5.6–§5.7) align it to that trajectory ahead of the</w:t>
      </w:r>
      <w:r>
        <w:t xml:space="preserve"> </w:t>
      </w:r>
      <w:r>
        <w:t xml:space="preserve">deadlines.</w:t>
      </w:r>
    </w:p>
    <w:p>
      <w:pPr>
        <w:pStyle w:val="Heading1"/>
      </w:pPr>
      <w:bookmarkStart w:id="58" w:name="terminology-and-standards-mapping"/>
      <w:r>
        <w:t xml:space="preserve">10. Terminology and standards mapping</w:t>
      </w:r>
      <w:bookmarkEnd w:id="58"/>
    </w:p>
    <w:p>
      <w:pPr>
        <w:pStyle w:val="FirstParagraph"/>
      </w:pPr>
      <w:r>
        <w:t xml:space="preserve">SPT-Txn coins terms only where it adds a real profile, binding, or</w:t>
      </w:r>
      <w:r>
        <w:t xml:space="preserve"> </w:t>
      </w:r>
      <w:r>
        <w:t xml:space="preserve">constraint, and</w:t>
      </w:r>
      <w:r>
        <w:t xml:space="preserve"> </w:t>
      </w:r>
      <w:r>
        <w:rPr>
          <w:b/>
        </w:rPr>
        <w:t xml:space="preserve">anchors each to its base standard on first use</w:t>
      </w:r>
      <w:r>
        <w:t xml:space="preserve">, so</w:t>
      </w:r>
      <w:r>
        <w:t xml:space="preserve"> </w:t>
      </w:r>
      <w:r>
        <w:t xml:space="preserve">novel work reads as an</w:t>
      </w:r>
      <w:r>
        <w:t xml:space="preserve"> </w:t>
      </w:r>
      <w:r>
        <w:rPr>
          <w:i/>
        </w:rPr>
        <w:t xml:space="preserve">extension</w:t>
      </w:r>
      <w:r>
        <w:t xml:space="preserve"> </w:t>
      </w:r>
      <w:r>
        <w:t xml:space="preserve">of the standards landscape, not a</w:t>
      </w:r>
      <w:r>
        <w:t xml:space="preserve"> </w:t>
      </w:r>
      <w:r>
        <w:t xml:space="preserve">reinvention of it.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SPT-Txn 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Base standard / reference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SPT-Txn adds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</w:t>
            </w:r>
            <w:r>
              <w:t xml:space="preserve">, Compliance Attestation Token W3C</w:t>
            </w:r>
          </w:p>
        </w:tc>
        <w:tc>
          <w:p>
            <w:pPr>
              <w:pStyle w:val="Compact"/>
              <w:jc w:val="left"/>
            </w:pPr>
            <w:r>
              <w:t xml:space="preserve">Verifiable Credentials 2.0; SD-JWT VC com</w:t>
            </w:r>
          </w:p>
        </w:tc>
        <w:tc>
          <w:p>
            <w:pPr>
              <w:pStyle w:val="Compact"/>
              <w:jc w:val="left"/>
            </w:pPr>
            <w:r>
              <w:t xml:space="preserve">pliance-attribute profile; zkDID binding; KYC-issued, reusable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CT</w:t>
            </w:r>
            <w:r>
              <w:t xml:space="preserve">, Capability Token obj</w:t>
            </w:r>
          </w:p>
        </w:tc>
        <w:tc>
          <w:p>
            <w:pPr>
              <w:pStyle w:val="Compact"/>
              <w:jc w:val="left"/>
            </w:pPr>
            <w:r>
              <w:t xml:space="preserve">ect-capability security (Biscuit, Macaroons); OAuth access token hum</w:t>
            </w:r>
          </w:p>
        </w:tc>
        <w:tc>
          <w:p>
            <w:pPr>
              <w:pStyle w:val="Compact"/>
              <w:jc w:val="left"/>
            </w:pPr>
            <w:r>
              <w:t xml:space="preserve">anAnchor propagation; scope-subset + delegation-depth invariants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SPT-Txn token</w:t>
            </w:r>
          </w:p>
        </w:tc>
        <w:tc>
          <w:p>
            <w:pPr>
              <w:pStyle w:val="Compact"/>
              <w:jc w:val="left"/>
            </w:pPr>
            <w:r>
              <w:t xml:space="preserve">OAuth Transaction Tokens; DPoP (RFC 9449)</w:t>
            </w:r>
          </w:p>
        </w:tc>
        <w:tc>
          <w:p>
            <w:pPr>
              <w:pStyle w:val="Compact"/>
              <w:jc w:val="left"/>
            </w:pPr>
            <w:r>
              <w:t xml:space="preserve">transaction-context binding; ~30 s TTL; Travel Rule attestation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zkDID</w:t>
            </w:r>
          </w:p>
        </w:tc>
        <w:tc>
          <w:p>
            <w:pPr>
              <w:pStyle w:val="Compact"/>
              <w:jc w:val="left"/>
            </w:pPr>
            <w:r>
              <w:t xml:space="preserve">W3C DID Core; anonymous credentials (BBS+, AnonCreds)</w:t>
            </w:r>
          </w:p>
        </w:tc>
        <w:tc>
          <w:p>
            <w:pPr>
              <w:pStyle w:val="Compact"/>
              <w:jc w:val="left"/>
            </w:pPr>
            <w:r>
              <w:t xml:space="preserve">ZK commitment so the DID itself is never revealed (unlinkable)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humanAnchor</w:t>
            </w:r>
          </w:p>
        </w:tc>
        <w:tc>
          <w:p>
            <w:pPr>
              <w:pStyle w:val="Compact"/>
              <w:jc w:val="left"/>
            </w:pPr>
            <w:r>
              <w:t xml:space="preserve">SD-JWT key binding; proof-of-personhood</w:t>
            </w:r>
          </w:p>
        </w:tc>
        <w:tc>
          <w:p>
            <w:pPr>
              <w:pStyle w:val="Compact"/>
              <w:jc w:val="left"/>
            </w:pPr>
            <w:r>
              <w:t xml:space="preserve">registered claim</w:t>
            </w:r>
            <w:r>
              <w:t xml:space="preserve"> </w:t>
            </w:r>
            <w:r>
              <w:rPr>
                <w:rStyle w:val="VerbatimChar"/>
              </w:rPr>
              <w:t xml:space="preserve">human_anchor</w:t>
            </w:r>
            <w:r>
              <w:t xml:space="preserve">; immutable cross-token propagation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Policy object</w:t>
            </w:r>
          </w:p>
        </w:tc>
        <w:tc>
          <w:p>
            <w:pPr>
              <w:pStyle w:val="Compact"/>
              <w:jc w:val="left"/>
            </w:pPr>
            <w:r>
              <w:t xml:space="preserve">ABAC (NIST SP 800-162); XACML PDP/PEP</w:t>
            </w:r>
          </w:p>
        </w:tc>
        <w:tc>
          <w:p>
            <w:pPr>
              <w:pStyle w:val="Compact"/>
              <w:jc w:val="left"/>
            </w:pPr>
            <w:r>
              <w:t xml:space="preserve">composable cross-jurisdiction policy; on-chain instantiation (informative)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zkDNS</w:t>
            </w:r>
          </w:p>
        </w:tc>
        <w:tc>
          <w:p>
            <w:pPr>
              <w:pStyle w:val="Compact"/>
              <w:jc w:val="left"/>
            </w:pPr>
            <w:r>
              <w:t xml:space="preserve">DNSSEC; ENS/Handshake; ODoH (RFC 9230); DECO</w:t>
            </w:r>
          </w:p>
        </w:tc>
        <w:tc>
          <w:p>
            <w:pPr>
              <w:pStyle w:val="Compact"/>
              <w:jc w:val="left"/>
            </w:pPr>
            <w:r>
              <w:t xml:space="preserve">ZK membership + private resolution over a compliance / VASP registry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Eight-step enforcement</w:t>
            </w:r>
          </w:p>
        </w:tc>
        <w:tc>
          <w:p>
            <w:pPr>
              <w:pStyle w:val="Compact"/>
              <w:jc w:val="left"/>
            </w:pPr>
            <w:r>
              <w:t xml:space="preserve">NIST SP 800-207 Zero Trust (PE/PA/PEP)</w:t>
            </w:r>
          </w:p>
        </w:tc>
        <w:tc>
          <w:p>
            <w:pPr>
              <w:pStyle w:val="Compact"/>
              <w:jc w:val="left"/>
            </w:pPr>
            <w:r>
              <w:t xml:space="preserve">offline, cryptographic per-step enforcement on the bound token</w:t>
            </w:r>
          </w:p>
        </w:tc>
      </w:tr>
    </w:tbl>
    <w:p>
      <w:pPr>
        <w:pStyle w:val="BodyText"/>
      </w:pPr>
      <w:r>
        <w:t xml:space="preserve">Primitives used as-is: Groth16/BN254 (and BLS12-381) zk-SNARKs;</w:t>
      </w:r>
      <w:r>
        <w:t xml:space="preserve"> </w:t>
      </w:r>
      <w:r>
        <w:t xml:space="preserve">Poseidon2; Ed25519/X25519/ECIES;</w:t>
      </w:r>
      <w:r>
        <w:t xml:space="preserve"> </w:t>
      </w:r>
      <w:r>
        <w:rPr>
          <w:b/>
        </w:rPr>
        <w:t xml:space="preserve">ML-KEM (FIPS 203) / ML-DSA (FIPS</w:t>
      </w:r>
      <w:r>
        <w:rPr>
          <w:b/>
        </w:rPr>
        <w:t xml:space="preserve"> </w:t>
      </w:r>
      <w:r>
        <w:rPr>
          <w:b/>
        </w:rPr>
        <w:t xml:space="preserve">204)</w:t>
      </w:r>
      <w:r>
        <w:t xml:space="preserve">; fuzzy extractors + nullifiers;</w:t>
      </w:r>
      <w:r>
        <w:t xml:space="preserve"> </w:t>
      </w:r>
      <w:r>
        <w:rPr>
          <w:b/>
        </w:rPr>
        <w:t xml:space="preserve">FATF Recommendation 16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IVMS101</w:t>
      </w:r>
      <w:r>
        <w:t xml:space="preserve">; OpenID4VCI for issuance. Aligns with</w:t>
      </w:r>
      <w:r>
        <w:t xml:space="preserve"> </w:t>
      </w:r>
      <w:r>
        <w:rPr>
          <w:b/>
        </w:rPr>
        <w:t xml:space="preserve">OAuth 2.0 Security</w:t>
      </w:r>
      <w:r>
        <w:rPr>
          <w:b/>
        </w:rPr>
        <w:t xml:space="preserve"> </w:t>
      </w:r>
      <w:r>
        <w:rPr>
          <w:b/>
        </w:rPr>
        <w:t xml:space="preserve">BCP (RFC 9700)</w:t>
      </w:r>
      <w:r>
        <w:t xml:space="preserve">,</w:t>
      </w:r>
      <w:r>
        <w:t xml:space="preserve"> </w:t>
      </w:r>
      <w:r>
        <w:rPr>
          <w:b/>
        </w:rPr>
        <w:t xml:space="preserve">NIST IR 8587</w:t>
      </w:r>
      <w:r>
        <w:t xml:space="preserve">, and</w:t>
      </w:r>
      <w:r>
        <w:t xml:space="preserve"> </w:t>
      </w:r>
      <w:r>
        <w:rPr>
          <w:b/>
        </w:rPr>
        <w:t xml:space="preserve">SP 800-63</w:t>
      </w:r>
      <w:r>
        <w:t xml:space="preserve">. (Full table and</w:t>
      </w:r>
      <w:r>
        <w:t xml:space="preserve"> </w:t>
      </w:r>
      <w:r>
        <w:t xml:space="preserve">the anchor-on-first-use rule:</w:t>
      </w:r>
      <w:r>
        <w:t xml:space="preserve"> </w:t>
      </w:r>
      <w:r>
        <w:rPr>
          <w:rStyle w:val="VerbatimChar"/>
        </w:rPr>
        <w:t xml:space="preserve">docs/GLOSSARY.md</w:t>
      </w:r>
      <w:r>
        <w:t xml:space="preserve"> </w:t>
      </w:r>
      <w:r>
        <w:t xml:space="preserve">§4.)</w:t>
      </w:r>
    </w:p>
    <w:p>
      <w:pPr>
        <w:pStyle w:val="Heading1"/>
      </w:pPr>
      <w:bookmarkStart w:id="59" w:name="conclusion-and-roadmap"/>
      <w:r>
        <w:t xml:space="preserve">11. Conclusion and roadmap</w:t>
      </w:r>
      <w:bookmarkEnd w:id="59"/>
    </w:p>
    <w:p>
      <w:pPr>
        <w:pStyle w:val="FirstParagraph"/>
      </w:pPr>
      <w:r>
        <w:t xml:space="preserve">SPT-Txn composes self-sovereign credentials, attribute-based policy</w:t>
      </w:r>
      <w:r>
        <w:t xml:space="preserve"> </w:t>
      </w:r>
      <w:r>
        <w:t xml:space="preserve">evaluation, and capability / transaction tokens into a single chain that</w:t>
      </w:r>
      <w:r>
        <w:t xml:space="preserve"> </w:t>
      </w:r>
      <w:r>
        <w:t xml:space="preserve">is privacy-preserving, accountable across organizational and agentic</w:t>
      </w:r>
      <w:r>
        <w:t xml:space="preserve"> </w:t>
      </w:r>
      <w:r>
        <w:t xml:space="preserve">boundaries, and verifiable offline:</w:t>
      </w:r>
      <w:r>
        <w:t xml:space="preserve"> </w:t>
      </w:r>
      <w:r>
        <w:rPr>
          <w:b/>
        </w:rPr>
        <w:t xml:space="preserve">verify once, prove everywhere</w:t>
      </w:r>
      <w:r>
        <w:t xml:space="preserve">.</w:t>
      </w:r>
      <w:r>
        <w:t xml:space="preserve"> </w:t>
      </w:r>
      <w:r>
        <w:t xml:space="preserve">The design is disciplined along three axes of agnosticism, ledger (XRPL</w:t>
      </w:r>
      <w:r>
        <w:t xml:space="preserve"> </w:t>
      </w:r>
      <w:r>
        <w:t xml:space="preserve">a target, not a dependency), policy representation, and identity method</w:t>
      </w:r>
      <w:r>
        <w:t xml:space="preserve"> </w:t>
      </w:r>
      <w:r>
        <w:t xml:space="preserve">(zkDID behind an adapter), so no part of the system is hostage to an</w:t>
      </w:r>
      <w:r>
        <w:t xml:space="preserve"> </w:t>
      </w:r>
      <w:r>
        <w:t xml:space="preserve">external component or a single chain, and it carries no native token.</w:t>
      </w:r>
    </w:p>
    <w:p>
      <w:pPr>
        <w:pStyle w:val="BodyText"/>
      </w:pPr>
      <w:r>
        <w:t xml:space="preserve">This is demonstrated, not asserted. The reference implementation is</w:t>
      </w:r>
      <w:r>
        <w:t xml:space="preserve"> </w:t>
      </w:r>
      <w:r>
        <w:rPr>
          <w:b/>
        </w:rPr>
        <w:t xml:space="preserve">deployed and security-audited (FAIL=0)</w:t>
      </w:r>
      <w:r>
        <w:t xml:space="preserve"> </w:t>
      </w:r>
      <w:r>
        <w:t xml:space="preserve">on a hardened OpenBSD host,</w:t>
      </w:r>
      <w:r>
        <w:t xml:space="preserve"> </w:t>
      </w:r>
      <w:r>
        <w:t xml:space="preserve">with</w:t>
      </w:r>
      <w:r>
        <w:t xml:space="preserve"> </w:t>
      </w:r>
      <w:r>
        <w:rPr>
          <w:b/>
        </w:rPr>
        <w:t xml:space="preserve">real Groth16 zero-knowledge</w:t>
      </w:r>
      <w:r>
        <w:t xml:space="preserve"> </w:t>
      </w:r>
      <w:r>
        <w:t xml:space="preserve">(MiMC → Poseidon2, benchmarked), a</w:t>
      </w:r>
      <w:r>
        <w:t xml:space="preserve"> </w:t>
      </w:r>
      <w:r>
        <w:rPr>
          <w:b/>
        </w:rPr>
        <w:t xml:space="preserve">live two-party FATF Travel Rule</w:t>
      </w:r>
      <w:r>
        <w:t xml:space="preserve"> </w:t>
      </w:r>
      <w:r>
        <w:t xml:space="preserve">exchange over OpenVASP TRP carrying</w:t>
      </w:r>
      <w:r>
        <w:t xml:space="preserve"> </w:t>
      </w:r>
      <w:r>
        <w:t xml:space="preserve">a payload-level ZK attestation, a published</w:t>
      </w:r>
      <w:r>
        <w:t xml:space="preserve"> </w:t>
      </w:r>
      <w:r>
        <w:rPr>
          <w:b/>
        </w:rPr>
        <w:t xml:space="preserve">CycloneDX CBOM</w:t>
      </w:r>
      <w:r>
        <w:t xml:space="preserve">, and a</w:t>
      </w:r>
      <w:r>
        <w:t xml:space="preserve"> </w:t>
      </w:r>
      <w:r>
        <w:t xml:space="preserve">measured, lifetime-triaged hybrid post-quantum migration plan aligned to</w:t>
      </w:r>
      <w:r>
        <w:t xml:space="preserve"> </w:t>
      </w:r>
      <w:r>
        <w:t xml:space="preserve">US Executive Order 14409.</w:t>
      </w:r>
    </w:p>
    <w:p>
      <w:pPr>
        <w:pStyle w:val="BodyText"/>
      </w:pPr>
      <w:r>
        <w:rPr>
          <w:b/>
        </w:rPr>
        <w:t xml:space="preserve">Roadmap.</w:t>
      </w:r>
      <w:r>
        <w:t xml:space="preserve"> </w:t>
      </w:r>
      <w:r>
        <w:t xml:space="preserve">XRPL-native anchoring and XRPL Credentials integration; a</w:t>
      </w:r>
      <w:r>
        <w:t xml:space="preserve"> </w:t>
      </w:r>
      <w:r>
        <w:t xml:space="preserve">biometric uniqueness layer (fuzzy extractor + nullifier + attested</w:t>
      </w:r>
      <w:r>
        <w:t xml:space="preserve"> </w:t>
      </w:r>
      <w:r>
        <w:t xml:space="preserve">liveness) for Sybil resistance; adoption of the</w:t>
      </w:r>
      <w:r>
        <w:t xml:space="preserve"> </w:t>
      </w:r>
      <w:r>
        <w:rPr>
          <w:rStyle w:val="VerbatimChar"/>
        </w:rPr>
        <w:t xml:space="preserve">.zkdid</w:t>
      </w:r>
      <w:r>
        <w:t xml:space="preserve">/</w:t>
      </w:r>
      <w:r>
        <w:rPr>
          <w:rStyle w:val="VerbatimChar"/>
        </w:rPr>
        <w:t xml:space="preserve">.zkdns</w:t>
      </w:r>
      <w:r>
        <w:t xml:space="preserve"> </w:t>
      </w:r>
      <w:r>
        <w:t xml:space="preserve">production identity / naming layer behind the existing adapter; the</w:t>
      </w:r>
      <w:r>
        <w:t xml:space="preserve"> </w:t>
      </w:r>
      <w:r>
        <w:t xml:space="preserve">hybrid PQ key migration; a containerized Linux production target</w:t>
      </w:r>
      <w:r>
        <w:t xml:space="preserve"> </w:t>
      </w:r>
      <w:r>
        <w:t xml:space="preserve">(seccomp / Landlock parity); end-to-end testing of agentic delegation</w:t>
      </w:r>
      <w:r>
        <w:t xml:space="preserve"> </w:t>
      </w:r>
      <w:r>
        <w:t xml:space="preserve">(designed today, not yet tested); a persistent / chain-backed Trust</w:t>
      </w:r>
      <w:r>
        <w:t xml:space="preserve"> </w:t>
      </w:r>
      <w:r>
        <w:t xml:space="preserve">Registry; and an independent ZK-circuit + protocol audit. SPT-Txn rides</w:t>
      </w:r>
      <w:r>
        <w:t xml:space="preserve"> </w:t>
      </w:r>
      <w:r>
        <w:t xml:space="preserve">existing standards rather than replacing them, the posture that fits</w:t>
      </w:r>
      <w:r>
        <w:t xml:space="preserve"> </w:t>
      </w:r>
      <w:r>
        <w:t xml:space="preserve">IETF (an OAuth Transaction Tokens extension), NIST engagement (IR 8587,</w:t>
      </w:r>
      <w:r>
        <w:t xml:space="preserve"> </w:t>
      </w:r>
      <w:r>
        <w:t xml:space="preserve">SP 800-207/204/63/162), and the FATF Travel Rule ecosystem.</w:t>
      </w:r>
    </w:p>
    <w:p>
      <w:pPr>
        <w:pStyle w:val="Heading1"/>
      </w:pPr>
      <w:bookmarkStart w:id="60" w:name="references"/>
      <w:r>
        <w:t xml:space="preserve">References</w:t>
      </w:r>
      <w:bookmarkEnd w:id="60"/>
    </w:p>
    <w:p>
      <w:pPr>
        <w:numPr>
          <w:ilvl w:val="0"/>
          <w:numId w:val="1007"/>
        </w:numPr>
        <w:pStyle w:val="Compact"/>
      </w:pPr>
      <w:r>
        <w:t xml:space="preserve">W3C</w:t>
      </w:r>
      <w:r>
        <w:t xml:space="preserve"> </w:t>
      </w:r>
      <w:r>
        <w:rPr>
          <w:i/>
        </w:rPr>
        <w:t xml:space="preserve">Verifiable Credentials Data Model 2.0</w:t>
      </w:r>
      <w:r>
        <w:t xml:space="preserve">;</w:t>
      </w:r>
      <w:r>
        <w:t xml:space="preserve"> </w:t>
      </w:r>
      <w:r>
        <w:rPr>
          <w:i/>
        </w:rPr>
        <w:t xml:space="preserve">Decentralized</w:t>
      </w:r>
      <w:r>
        <w:rPr>
          <w:i/>
        </w:rPr>
        <w:t xml:space="preserve"> </w:t>
      </w:r>
      <w:r>
        <w:rPr>
          <w:i/>
        </w:rPr>
        <w:t xml:space="preserve">Identifiers (DID) Core 1.0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IETF</w:t>
      </w:r>
      <w:r>
        <w:t xml:space="preserve"> </w:t>
      </w:r>
      <w:r>
        <w:rPr>
          <w:i/>
        </w:rPr>
        <w:t xml:space="preserve">Selective Disclosure for JWTs (SD-JWT)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SD-JWT-based</w:t>
      </w:r>
      <w:r>
        <w:rPr>
          <w:i/>
        </w:rPr>
        <w:t xml:space="preserve"> </w:t>
      </w:r>
      <w:r>
        <w:rPr>
          <w:i/>
        </w:rPr>
        <w:t xml:space="preserve">Verifiable Credentials (SD-JWT VC)</w:t>
      </w:r>
      <w:r>
        <w:t xml:space="preserve">;</w:t>
      </w:r>
      <w:r>
        <w:t xml:space="preserve"> </w:t>
      </w:r>
      <w:r>
        <w:rPr>
          <w:i/>
        </w:rPr>
        <w:t xml:space="preserve">OAuth 2.0 Transaction Tokens</w:t>
      </w:r>
      <w:r>
        <w:t xml:space="preserve"> </w:t>
      </w:r>
      <w:r>
        <w:t xml:space="preserve">(</w:t>
      </w:r>
      <w:r>
        <w:rPr>
          <w:rStyle w:val="VerbatimChar"/>
        </w:rPr>
        <w:t xml:space="preserve">draft-ietf-oauth-transaction-tokens</w:t>
      </w:r>
      <w:r>
        <w:t xml:space="preserve">); RFC 9449</w:t>
      </w:r>
      <w:r>
        <w:t xml:space="preserve"> </w:t>
      </w:r>
      <w:r>
        <w:rPr>
          <w:i/>
        </w:rPr>
        <w:t xml:space="preserve">DPoP</w:t>
      </w:r>
      <w:r>
        <w:t xml:space="preserve">;</w:t>
      </w:r>
      <w:r>
        <w:t xml:space="preserve"> </w:t>
      </w:r>
      <w:r>
        <w:t xml:space="preserve">RFC 9700</w:t>
      </w:r>
      <w:r>
        <w:t xml:space="preserve"> </w:t>
      </w:r>
      <w:r>
        <w:rPr>
          <w:i/>
        </w:rPr>
        <w:t xml:space="preserve">OAuth 2.0 Security Best Current Practice</w:t>
      </w:r>
      <w:r>
        <w:t xml:space="preserve">; RFC 9230</w:t>
      </w:r>
      <w:r>
        <w:t xml:space="preserve"> </w:t>
      </w:r>
      <w:r>
        <w:rPr>
          <w:i/>
        </w:rPr>
        <w:t xml:space="preserve">Oblivious DNS over HTTPS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NIST</w:t>
      </w:r>
      <w:r>
        <w:t xml:space="preserve"> </w:t>
      </w:r>
      <w:r>
        <w:rPr>
          <w:i/>
        </w:rPr>
        <w:t xml:space="preserve">IR 8587</w:t>
      </w:r>
      <w:r>
        <w:t xml:space="preserve"> </w:t>
      </w:r>
      <w:r>
        <w:t xml:space="preserve">(Protecting Tokens and Assertions from Forgery,</w:t>
      </w:r>
      <w:r>
        <w:t xml:space="preserve"> </w:t>
      </w:r>
      <w:r>
        <w:t xml:space="preserve">Theft, and Misuse); SP 800-207 / 800-207A (Zero Trust Architecture);</w:t>
      </w:r>
      <w:r>
        <w:t xml:space="preserve"> </w:t>
      </w:r>
      <w:r>
        <w:t xml:space="preserve">SP 800-204 A/B/C (Microservices); SP 800-63-4 (Digital Identity); SP</w:t>
      </w:r>
      <w:r>
        <w:t xml:space="preserve"> </w:t>
      </w:r>
      <w:r>
        <w:t xml:space="preserve">800-162 (ABAC); SP 800-57 (Key Management); SP 800-133r3 (Key</w:t>
      </w:r>
      <w:r>
        <w:t xml:space="preserve"> </w:t>
      </w:r>
      <w:r>
        <w:t xml:space="preserve">Generation).</w:t>
      </w:r>
    </w:p>
    <w:p>
      <w:pPr>
        <w:numPr>
          <w:ilvl w:val="0"/>
          <w:numId w:val="1007"/>
        </w:numPr>
        <w:pStyle w:val="Compact"/>
      </w:pPr>
      <w:r>
        <w:t xml:space="preserve">NIST FIPS 203</w:t>
      </w:r>
      <w:r>
        <w:t xml:space="preserve"> </w:t>
      </w:r>
      <w:r>
        <w:rPr>
          <w:i/>
        </w:rPr>
        <w:t xml:space="preserve">ML-KEM</w:t>
      </w:r>
      <w:r>
        <w:t xml:space="preserve">; FIPS 204</w:t>
      </w:r>
      <w:r>
        <w:t xml:space="preserve"> </w:t>
      </w:r>
      <w:r>
        <w:rPr>
          <w:i/>
        </w:rPr>
        <w:t xml:space="preserve">ML-DSA</w:t>
      </w:r>
      <w:r>
        <w:t xml:space="preserve">; FIPS 205</w:t>
      </w:r>
      <w:r>
        <w:t xml:space="preserve"> </w:t>
      </w:r>
      <w:r>
        <w:rPr>
          <w:i/>
        </w:rPr>
        <w:t xml:space="preserve">SLH-DSA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FATF</w:t>
      </w:r>
      <w:r>
        <w:t xml:space="preserve"> </w:t>
      </w:r>
      <w:r>
        <w:rPr>
          <w:i/>
        </w:rPr>
        <w:t xml:space="preserve">Recommendation 16</w:t>
      </w:r>
      <w:r>
        <w:t xml:space="preserve"> </w:t>
      </w:r>
      <w:r>
        <w:t xml:space="preserve">(Travel Rule); interVASP</w:t>
      </w:r>
      <w:r>
        <w:t xml:space="preserve"> </w:t>
      </w:r>
      <w:r>
        <w:rPr>
          <w:i/>
        </w:rPr>
        <w:t xml:space="preserve">IVMS101</w:t>
      </w:r>
      <w:r>
        <w:t xml:space="preserve">; TRISA;</w:t>
      </w:r>
      <w:r>
        <w:t xml:space="preserve"> </w:t>
      </w:r>
      <w:r>
        <w:t xml:space="preserve">OpenVASP TRP.</w:t>
      </w:r>
    </w:p>
    <w:p>
      <w:pPr>
        <w:numPr>
          <w:ilvl w:val="0"/>
          <w:numId w:val="1007"/>
        </w:numPr>
        <w:pStyle w:val="Compact"/>
      </w:pPr>
      <w:r>
        <w:t xml:space="preserve">EU</w:t>
      </w:r>
      <w:r>
        <w:t xml:space="preserve"> </w:t>
      </w:r>
      <w:r>
        <w:rPr>
          <w:i/>
        </w:rPr>
        <w:t xml:space="preserve">Artificial Intelligence Act</w:t>
      </w:r>
      <w:r>
        <w:t xml:space="preserve"> </w:t>
      </w:r>
      <w:r>
        <w:t xml:space="preserve">(Reg. 2024/1689), Article 14; US</w:t>
      </w:r>
      <w:r>
        <w:t xml:space="preserve"> </w:t>
      </w:r>
      <w:r>
        <w:rPr>
          <w:i/>
        </w:rPr>
        <w:t xml:space="preserve">Executive Order 14409</w:t>
      </w:r>
      <w:r>
        <w:t xml:space="preserve">,</w:t>
      </w:r>
      <w:r>
        <w:t xml:space="preserve"> </w:t>
      </w:r>
      <w:r>
        <w:t xml:space="preserve">“</w:t>
      </w:r>
      <w:r>
        <w:t xml:space="preserve">Securing the Nation Against Advanced</w:t>
      </w:r>
      <w:r>
        <w:t xml:space="preserve"> </w:t>
      </w:r>
      <w:r>
        <w:t xml:space="preserve">Cryptographic Attacks</w:t>
      </w:r>
      <w:r>
        <w:t xml:space="preserve">”</w:t>
      </w:r>
      <w:r>
        <w:t xml:space="preserve"> </w:t>
      </w:r>
      <w:r>
        <w:t xml:space="preserve">(2026).</w:t>
      </w:r>
    </w:p>
    <w:p>
      <w:pPr>
        <w:numPr>
          <w:ilvl w:val="0"/>
          <w:numId w:val="1007"/>
        </w:numPr>
        <w:pStyle w:val="Compact"/>
      </w:pPr>
      <w:r>
        <w:t xml:space="preserve">Grassi, Khovratovich, Roy, Schofnegger,</w:t>
      </w:r>
      <w:r>
        <w:t xml:space="preserve"> </w:t>
      </w:r>
      <w:r>
        <w:rPr>
          <w:i/>
        </w:rPr>
        <w:t xml:space="preserve">Poseidon2</w:t>
      </w:r>
      <w:r>
        <w:t xml:space="preserve">;</w:t>
      </w:r>
      <w:r>
        <w:t xml:space="preserve"> </w:t>
      </w:r>
      <w:r>
        <w:rPr>
          <w:i/>
        </w:rPr>
        <w:t xml:space="preserve">LaBRADOR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Greyhound</w:t>
      </w:r>
      <w:r>
        <w:t xml:space="preserve"> </w:t>
      </w:r>
      <w:r>
        <w:t xml:space="preserve">(post-quantum lattice SNARKs); BBS+ signatures;</w:t>
      </w:r>
      <w:r>
        <w:t xml:space="preserve"> </w:t>
      </w:r>
      <w:r>
        <w:t xml:space="preserve">Hyperledger AnonCreds.</w:t>
      </w:r>
    </w:p>
    <w:p>
      <w:pPr>
        <w:numPr>
          <w:ilvl w:val="0"/>
          <w:numId w:val="1007"/>
        </w:numPr>
        <w:pStyle w:val="Compact"/>
      </w:pPr>
      <w:r>
        <w:t xml:space="preserve">Chainlink</w:t>
      </w:r>
      <w:r>
        <w:t xml:space="preserve"> </w:t>
      </w:r>
      <w:r>
        <w:rPr>
          <w:i/>
        </w:rPr>
        <w:t xml:space="preserve">DECO</w:t>
      </w:r>
      <w:r>
        <w:t xml:space="preserve">; ENS; Handshake; Namecoin; ICANN</w:t>
      </w:r>
      <w:r>
        <w:t xml:space="preserve"> </w:t>
      </w:r>
      <w:r>
        <w:rPr>
          <w:i/>
        </w:rPr>
        <w:t xml:space="preserve">OCTO-034</w:t>
      </w:r>
      <w:r>
        <w:t xml:space="preserve"> </w:t>
      </w:r>
      <w:r>
        <w:t xml:space="preserve">(alternative name systems).</w:t>
      </w:r>
    </w:p>
    <w:p>
      <w:pPr>
        <w:numPr>
          <w:ilvl w:val="0"/>
          <w:numId w:val="1007"/>
        </w:numPr>
        <w:pStyle w:val="Compact"/>
      </w:pPr>
      <w:r>
        <w:t xml:space="preserve">R. J. Coetzee,</w:t>
      </w:r>
      <w:r>
        <w:t xml:space="preserve"> </w:t>
      </w:r>
      <w:r>
        <w:rPr>
          <w:i/>
        </w:rPr>
        <w:t xml:space="preserve">SPT-Txn Transaction Tokens</w:t>
      </w:r>
      <w:r>
        <w:t xml:space="preserve">, IETF Internet-Draft</w:t>
      </w:r>
      <w:r>
        <w:t xml:space="preserve"> </w:t>
      </w:r>
      <w:r>
        <w:rPr>
          <w:rStyle w:val="VerbatimChar"/>
        </w:rPr>
        <w:t xml:space="preserve">draft-coetzee-oauth-spt-txn-tokens</w:t>
      </w:r>
      <w:r>
        <w:t xml:space="preserve">; companion</w:t>
      </w:r>
      <w:r>
        <w:t xml:space="preserve"> </w:t>
      </w:r>
      <w:r>
        <w:t xml:space="preserve">preprints, Zenodo 10.5281/zenodo.19299787 and</w:t>
      </w:r>
      <w:r>
        <w:t xml:space="preserve"> </w:t>
      </w:r>
      <w:r>
        <w:t xml:space="preserve">10.5281/zenodo.18917439.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Sovereign Policy Token Transactions (SPT-Txn): A Privacy-Preserving, Crypto-Agile Authorization Framework for Regulated and Agentic Systems</dc:title>
  <dc:creator>Rudolf J. Coetzee · Violet Sky Security SEZC (Cayman Islands); ORCID 0009-0009-6557-8843</dc:creator>
  <cp:keywords/>
  <dcterms:created xsi:type="dcterms:W3CDTF">2026-06-25T17:59:03Z</dcterms:created>
  <dcterms:modified xsi:type="dcterms:W3CDTF">2026-06-25T17:59:03Z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Every regulated interaction, opening an account, transacting a tokenized asset, authorizing an AI agent to act on a person’s behalf, today requires identity and eligibility to be re-verified from scratch, at every platform, at a cost of tens of dollars and days of latency per check. The data exhaust of that model is a standing breach liability, and it does not survive the move to autonomous agents, where the accountable human dissolves within one or two delegation hops.SPT-Txn is an authorization framework that verifies once and proves everywhere. A user holds a Compliance Attestation Token (CAT), a W3C Verifiable Credential, issued by a regulated KYC/compliance provider, that binds zero-knowledge-provable compliance attributes to a zkDID commitment. A platform evaluates a zero-knowledge proof of the CAT against a representation-agnostic policy object and, on a match, issues a scope-bounded Capability Token (CT); an AI agent receives a strictly attenuated, delegation-depth-bounded CT carrying an immutable humanAnchor back to the accountable person. Each action emits a transaction-bound SPT-Txn token (≈30 s lifetime, sender-constrained per DPoP), and every step is recorded to a tamper-evident audit trail. No personally identifiable information is transmitted or stored at the verifying party; compliance is proven, not disclosed.The framework is blockchain-agnostic (a ledger adapter; XRPL and others are deployment targets, not dependencies), carries no native token, and is crypto-agile by design: algorithm identifiers travel in every token and the Trust Registry, not the token header, governs algorithm acceptance, enabling a hybrid classical/post-quantum migration without a flag day. We report a working reference implementation hardened on OpenBSD (pledge/unveil, privilege separation), a live two-party FATF Travel Rule deployment carrying a payload-level ZK attestation over the inter-VASP Travel Rule Protocol, measured cryptographic benchmarks driving the primitive choices (Poseidon2 over MiMC; BN254 vs BLS12-381; Groth16 vs PLONK), and a CycloneDX Cryptographic Bill of Materials aligned to US Executive Order 14409 (2026).</vt:lpwstr>
  </property>
  <property fmtid="{D5CDD505-2E9C-101B-9397-08002B2CF9AE}" pid="3" name="date">
    <vt:lpwstr>25 June 2026</vt:lpwstr>
  </property>
  <property fmtid="{D5CDD505-2E9C-101B-9397-08002B2CF9AE}" pid="4" name="fontsize">
    <vt:lpwstr>11pt</vt:lpwstr>
  </property>
  <property fmtid="{D5CDD505-2E9C-101B-9397-08002B2CF9AE}" pid="5" name="geometry">
    <vt:lpwstr>margin=1in</vt:lpwstr>
  </property>
  <property fmtid="{D5CDD505-2E9C-101B-9397-08002B2CF9AE}" pid="6" name="linkcolor">
    <vt:lpwstr>black</vt:lpwstr>
  </property>
  <property fmtid="{D5CDD505-2E9C-101B-9397-08002B2CF9AE}" pid="7" name="toc">
    <vt:lpwstr>True</vt:lpwstr>
  </property>
  <property fmtid="{D5CDD505-2E9C-101B-9397-08002B2CF9AE}" pid="8" name="toc-depth">
    <vt:lpwstr>1</vt:lpwstr>
  </property>
  <property fmtid="{D5CDD505-2E9C-101B-9397-08002B2CF9AE}" pid="9" name="urlcolor">
    <vt:lpwstr>black</vt:lpwstr>
  </property>
</Properties>
</file>