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E8979">
      <w:pPr>
        <w:widowControl w:val="0"/>
        <w:adjustRightInd w:val="0"/>
        <w:snapToGrid w:val="0"/>
        <w:spacing w:after="0" w:line="240" w:lineRule="auto"/>
        <w:ind w:firstLine="0" w:firstLineChars="0"/>
        <w:jc w:val="both"/>
        <w:rPr>
          <w:rFonts w:ascii="Calibri" w:hAnsi="Calibri" w:cs="Times New Roman"/>
          <w:kern w:val="2"/>
          <w:szCs w:val="24"/>
          <w:lang w:eastAsia="zh-CN"/>
        </w:rPr>
      </w:pPr>
      <w:bookmarkStart w:id="49" w:name="_GoBack"/>
      <w:r>
        <w:rPr>
          <w:rFonts w:ascii="SimSun" w:hAnsi="SimSun" w:cs="SimSun"/>
          <w:kern w:val="2"/>
          <w:szCs w:val="24"/>
          <w:lang w:eastAsia="zh-CN"/>
        </w:rPr>
        <w:drawing>
          <wp:anchor distT="0" distB="0" distL="114300" distR="114300" simplePos="0" relativeHeight="251659264" behindDoc="0" locked="0" layoutInCell="1" allowOverlap="1">
            <wp:simplePos x="0" y="0"/>
            <wp:positionH relativeFrom="column">
              <wp:posOffset>-26035</wp:posOffset>
            </wp:positionH>
            <wp:positionV relativeFrom="paragraph">
              <wp:posOffset>266065</wp:posOffset>
            </wp:positionV>
            <wp:extent cx="2755900" cy="658495"/>
            <wp:effectExtent l="0" t="0" r="2540" b="12065"/>
            <wp:wrapTopAndBottom/>
            <wp:docPr id="1969417908" name="图片 196941790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17908" name="图片 1969417908" descr="IMG_256"/>
                    <pic:cNvPicPr>
                      <a:picLocks noChangeAspect="1"/>
                    </pic:cNvPicPr>
                  </pic:nvPicPr>
                  <pic:blipFill>
                    <a:blip r:embed="rId14"/>
                    <a:srcRect t="1603" r="-949" b="-1603"/>
                    <a:stretch>
                      <a:fillRect/>
                    </a:stretch>
                  </pic:blipFill>
                  <pic:spPr>
                    <a:xfrm>
                      <a:off x="0" y="0"/>
                      <a:ext cx="2755900" cy="658495"/>
                    </a:xfrm>
                    <a:prstGeom prst="rect">
                      <a:avLst/>
                    </a:prstGeom>
                    <a:noFill/>
                    <a:ln>
                      <a:noFill/>
                    </a:ln>
                  </pic:spPr>
                </pic:pic>
              </a:graphicData>
            </a:graphic>
          </wp:anchor>
        </w:drawing>
      </w:r>
      <w:bookmarkEnd w:id="49"/>
    </w:p>
    <w:p w14:paraId="14BCCD9D">
      <w:pPr>
        <w:widowControl w:val="0"/>
        <w:adjustRightInd w:val="0"/>
        <w:snapToGrid w:val="0"/>
        <w:spacing w:after="0" w:line="240" w:lineRule="auto"/>
        <w:ind w:firstLine="0" w:firstLineChars="0"/>
        <w:jc w:val="both"/>
        <w:rPr>
          <w:rFonts w:ascii="Calibri" w:hAnsi="Calibri" w:cs="Times New Roman"/>
          <w:kern w:val="2"/>
          <w:szCs w:val="24"/>
          <w:lang w:eastAsia="zh-CN"/>
        </w:rPr>
      </w:pPr>
    </w:p>
    <w:p w14:paraId="2A28ADAB">
      <w:pPr>
        <w:widowControl w:val="0"/>
        <w:spacing w:after="0" w:line="380" w:lineRule="exact"/>
        <w:ind w:firstLine="420" w:firstLineChars="200"/>
        <w:jc w:val="center"/>
        <w:rPr>
          <w:rFonts w:ascii="Calibri" w:hAnsi="Calibri" w:cs="Times New Roman"/>
          <w:b/>
          <w:kern w:val="2"/>
          <w:sz w:val="21"/>
          <w:szCs w:val="24"/>
          <w:lang w:eastAsia="zh-CN"/>
        </w:rPr>
      </w:pPr>
    </w:p>
    <w:p w14:paraId="759B4459">
      <w:pPr>
        <w:widowControl w:val="0"/>
        <w:spacing w:after="0" w:line="380" w:lineRule="exact"/>
        <w:ind w:firstLine="420" w:firstLineChars="200"/>
        <w:jc w:val="center"/>
        <w:rPr>
          <w:rFonts w:ascii="Calibri" w:hAnsi="Calibri" w:cs="Times New Roman"/>
          <w:b/>
          <w:kern w:val="2"/>
          <w:sz w:val="21"/>
          <w:szCs w:val="24"/>
          <w:lang w:eastAsia="zh-CN"/>
        </w:rPr>
      </w:pPr>
    </w:p>
    <w:p w14:paraId="6099F242">
      <w:pPr>
        <w:widowControl w:val="0"/>
        <w:spacing w:after="0" w:line="380" w:lineRule="exact"/>
        <w:ind w:firstLine="420" w:firstLineChars="200"/>
        <w:jc w:val="center"/>
        <w:rPr>
          <w:rFonts w:ascii="Calibri" w:hAnsi="Calibri" w:cs="Times New Roman"/>
          <w:b/>
          <w:kern w:val="2"/>
          <w:sz w:val="21"/>
          <w:szCs w:val="24"/>
          <w:lang w:eastAsia="zh-CN"/>
        </w:rPr>
      </w:pPr>
    </w:p>
    <w:p w14:paraId="0CEFA56C">
      <w:pPr>
        <w:widowControl w:val="0"/>
        <w:spacing w:before="156" w:beforeLines="50" w:after="0" w:line="240" w:lineRule="auto"/>
        <w:ind w:firstLine="0" w:firstLineChars="0"/>
        <w:jc w:val="center"/>
        <w:rPr>
          <w:rFonts w:cs="Times New Roman"/>
          <w:b/>
          <w:bCs/>
          <w:color w:val="000000"/>
          <w:kern w:val="2"/>
          <w:sz w:val="72"/>
          <w:szCs w:val="24"/>
          <w:lang w:eastAsia="zh-CN"/>
        </w:rPr>
      </w:pPr>
      <w:r>
        <w:rPr>
          <w:rFonts w:hint="eastAsia" w:ascii="STKaiti" w:hAnsi="STKaiti" w:eastAsia="STKaiti" w:cs="STKaiti"/>
          <w:b/>
          <w:bCs/>
          <w:color w:val="000000"/>
          <w:kern w:val="2"/>
          <w:sz w:val="72"/>
          <w:szCs w:val="24"/>
          <w:lang w:eastAsia="zh-CN"/>
        </w:rPr>
        <w:t xml:space="preserve"> 本科毕业论文（设计）</w:t>
      </w:r>
    </w:p>
    <w:p w14:paraId="60A9D2BC">
      <w:pPr>
        <w:widowControl w:val="0"/>
        <w:spacing w:after="0" w:line="259" w:lineRule="auto"/>
        <w:ind w:firstLine="196" w:firstLineChars="41"/>
        <w:jc w:val="center"/>
        <w:rPr>
          <w:rFonts w:cs="Times New Roman"/>
          <w:kern w:val="2"/>
          <w:lang w:eastAsia="zh-CN"/>
        </w:rPr>
      </w:pPr>
      <w:r>
        <w:rPr>
          <w:rFonts w:eastAsia="Times New Roman" w:cs="Times New Roman"/>
          <w:b/>
          <w:kern w:val="2"/>
          <w:sz w:val="48"/>
          <w:lang w:eastAsia="zh-CN"/>
        </w:rPr>
        <w:t>Thesis</w:t>
      </w:r>
      <w:r>
        <w:rPr>
          <w:rFonts w:cs="Times New Roman"/>
          <w:b/>
          <w:kern w:val="2"/>
          <w:sz w:val="48"/>
          <w:lang w:eastAsia="zh-CN"/>
        </w:rPr>
        <w:t xml:space="preserve"> (Design)</w:t>
      </w:r>
      <w:r>
        <w:rPr>
          <w:rFonts w:eastAsia="Times New Roman" w:cs="Times New Roman"/>
          <w:b/>
          <w:kern w:val="2"/>
          <w:sz w:val="48"/>
          <w:lang w:eastAsia="zh-CN"/>
        </w:rPr>
        <w:t xml:space="preserve"> for Bachelor’s Degree</w:t>
      </w:r>
    </w:p>
    <w:p w14:paraId="6E066078">
      <w:pPr>
        <w:widowControl w:val="0"/>
        <w:spacing w:after="0" w:line="240" w:lineRule="auto"/>
        <w:ind w:firstLine="0" w:firstLineChars="0"/>
        <w:jc w:val="both"/>
        <w:rPr>
          <w:rFonts w:hint="eastAsia" w:ascii="SimSun" w:hAnsi="SimSun" w:cs="SimSun"/>
          <w:kern w:val="2"/>
          <w:szCs w:val="24"/>
          <w:lang w:eastAsia="zh-CN"/>
        </w:rPr>
      </w:pPr>
    </w:p>
    <w:p w14:paraId="05AFC433">
      <w:pPr>
        <w:widowControl w:val="0"/>
        <w:tabs>
          <w:tab w:val="left" w:pos="1440"/>
        </w:tabs>
        <w:spacing w:after="0" w:line="240" w:lineRule="auto"/>
        <w:ind w:firstLine="0" w:firstLineChars="0"/>
        <w:jc w:val="both"/>
        <w:rPr>
          <w:rFonts w:hint="eastAsia" w:ascii="SimSun" w:hAnsi="SimSun" w:cs="SimSun"/>
          <w:kern w:val="2"/>
          <w:szCs w:val="24"/>
          <w:lang w:eastAsia="zh-CN"/>
        </w:rPr>
      </w:pPr>
      <w:r>
        <w:rPr>
          <w:rFonts w:hint="eastAsia" w:ascii="SimSun" w:hAnsi="SimSun" w:cs="SimSun"/>
          <w:kern w:val="2"/>
          <w:szCs w:val="24"/>
          <w:lang w:eastAsia="zh-CN"/>
        </w:rPr>
        <w:tab/>
      </w:r>
    </w:p>
    <w:p w14:paraId="43067B85">
      <w:pPr>
        <w:widowControl w:val="0"/>
        <w:spacing w:after="0" w:line="240" w:lineRule="auto"/>
        <w:ind w:firstLine="0" w:firstLineChars="0"/>
        <w:jc w:val="both"/>
        <w:rPr>
          <w:rFonts w:hint="eastAsia" w:ascii="SimSun" w:hAnsi="SimSun" w:cs="SimSun"/>
          <w:kern w:val="2"/>
          <w:szCs w:val="24"/>
          <w:u w:val="single"/>
          <w:lang w:eastAsia="zh-CN"/>
        </w:rPr>
      </w:pPr>
    </w:p>
    <w:p w14:paraId="6ABD707C">
      <w:pPr>
        <w:widowControl w:val="0"/>
        <w:spacing w:after="0" w:line="240" w:lineRule="auto"/>
        <w:ind w:firstLine="880" w:firstLineChars="200"/>
        <w:jc w:val="both"/>
        <w:rPr>
          <w:rFonts w:hint="eastAsia" w:cs="Times New Roman"/>
          <w:b/>
          <w:bCs/>
          <w:kern w:val="2"/>
          <w:sz w:val="44"/>
          <w:szCs w:val="44"/>
          <w:lang w:eastAsia="zh-CN"/>
        </w:rPr>
      </w:pPr>
      <w:r>
        <w:rPr>
          <w:rFonts w:hint="eastAsia" w:cs="Times New Roman"/>
          <w:b/>
          <w:bCs/>
          <w:kern w:val="2"/>
          <w:sz w:val="44"/>
          <w:szCs w:val="44"/>
          <w:lang w:eastAsia="zh-CN"/>
        </w:rPr>
        <w:t>基于Django框架的碳排放分析及预警</w:t>
      </w:r>
    </w:p>
    <w:p w14:paraId="009136B8">
      <w:pPr>
        <w:widowControl w:val="0"/>
        <w:spacing w:after="0" w:line="240" w:lineRule="auto"/>
        <w:ind w:firstLine="880" w:firstLineChars="200"/>
        <w:jc w:val="both"/>
        <w:rPr>
          <w:rFonts w:cs="Times New Roman"/>
          <w:b/>
          <w:bCs/>
          <w:kern w:val="2"/>
          <w:sz w:val="44"/>
          <w:szCs w:val="44"/>
          <w:lang w:eastAsia="zh-CN"/>
        </w:rPr>
      </w:pPr>
    </w:p>
    <w:p w14:paraId="5DECD302">
      <w:pPr>
        <w:widowControl w:val="0"/>
        <w:spacing w:after="0" w:line="240" w:lineRule="auto"/>
        <w:ind w:firstLine="0" w:firstLineChars="0"/>
        <w:jc w:val="both"/>
        <w:rPr>
          <w:rFonts w:ascii="Calibri" w:hAnsi="Calibri" w:cs="Times New Roman"/>
          <w:kern w:val="2"/>
          <w:sz w:val="21"/>
          <w:szCs w:val="24"/>
          <w:lang w:eastAsia="zh-CN"/>
        </w:rPr>
      </w:pPr>
    </w:p>
    <w:p w14:paraId="6167ED56">
      <w:pPr>
        <w:widowControl/>
        <w:spacing w:after="0" w:line="800" w:lineRule="exact"/>
        <w:ind w:firstLine="1280" w:firstLineChars="400"/>
        <w:jc w:val="both"/>
        <w:rPr>
          <w:rFonts w:cs="Times New Roman"/>
          <w:bCs/>
          <w:kern w:val="2"/>
          <w:sz w:val="32"/>
          <w:u w:val="single"/>
          <w:lang w:eastAsia="zh-CN"/>
        </w:rPr>
      </w:pPr>
      <w:r>
        <w:rPr>
          <w:rFonts w:cs="Times New Roman"/>
          <w:b/>
          <w:kern w:val="2"/>
          <w:sz w:val="32"/>
          <w:lang w:eastAsia="zh-CN"/>
        </w:rPr>
        <w:t>类    型：</w:t>
      </w:r>
      <w:r>
        <w:rPr>
          <w:rFonts w:hint="eastAsia" w:cs="Times New Roman"/>
          <w:bCs/>
          <w:kern w:val="2"/>
          <w:sz w:val="32"/>
          <w:u w:val="single"/>
          <w:lang w:eastAsia="zh-CN"/>
        </w:rPr>
        <w:t>□</w:t>
      </w:r>
      <w:r>
        <w:rPr>
          <w:rFonts w:cs="Times New Roman"/>
          <w:bCs/>
          <w:kern w:val="2"/>
          <w:sz w:val="32"/>
          <w:u w:val="single"/>
          <w:lang w:eastAsia="zh-CN"/>
        </w:rPr>
        <w:t>毕业论文</w:t>
      </w:r>
      <w:r>
        <w:rPr>
          <w:rFonts w:eastAsia="Times New Roman" w:cs="Times New Roman"/>
          <w:bCs/>
          <w:kern w:val="2"/>
          <w:sz w:val="30"/>
          <w:u w:val="single"/>
          <w:lang w:eastAsia="zh-CN"/>
        </w:rPr>
        <w:t xml:space="preserve"> </w:t>
      </w:r>
      <w:r>
        <w:rPr>
          <w:rFonts w:hint="eastAsia" w:cs="Times New Roman"/>
          <w:bCs/>
          <w:kern w:val="2"/>
          <w:sz w:val="30"/>
          <w:u w:val="single"/>
          <w:lang w:eastAsia="zh-CN"/>
        </w:rPr>
        <w:t xml:space="preserve"> </w:t>
      </w:r>
      <w:r>
        <w:rPr>
          <w:rFonts w:eastAsia="Times New Roman" w:cs="Times New Roman"/>
          <w:bCs/>
          <w:kern w:val="2"/>
          <w:sz w:val="30"/>
          <w:u w:val="single"/>
          <w:lang w:eastAsia="zh-CN"/>
        </w:rPr>
        <w:t xml:space="preserve"> </w:t>
      </w:r>
      <w:r>
        <w:rPr>
          <w:rFonts w:hint="eastAsia" w:cs="Times New Roman"/>
          <w:bCs/>
          <w:kern w:val="2"/>
          <w:sz w:val="32"/>
          <w:u w:val="single"/>
          <w:lang w:eastAsia="zh-CN"/>
        </w:rPr>
        <w:t>□</w:t>
      </w:r>
      <w:r>
        <w:rPr>
          <w:rFonts w:cs="Times New Roman"/>
          <w:bCs/>
          <w:kern w:val="2"/>
          <w:sz w:val="32"/>
          <w:u w:val="single"/>
          <w:lang w:eastAsia="zh-CN"/>
        </w:rPr>
        <w:t>调研（查）报告</w:t>
      </w:r>
      <w:r>
        <w:rPr>
          <w:rFonts w:cs="Times New Roman"/>
          <w:bCs/>
          <w:kern w:val="2"/>
          <w:szCs w:val="24"/>
          <w:u w:val="single"/>
          <w:lang w:eastAsia="zh-CN"/>
        </w:rPr>
        <w:t xml:space="preserve"> </w:t>
      </w:r>
    </w:p>
    <w:p w14:paraId="6B08D9FA">
      <w:pPr>
        <w:widowControl/>
        <w:spacing w:after="0" w:line="800" w:lineRule="exact"/>
        <w:ind w:firstLine="2880" w:firstLineChars="900"/>
        <w:jc w:val="both"/>
        <w:rPr>
          <w:rFonts w:cs="Times New Roman"/>
          <w:bCs/>
          <w:kern w:val="2"/>
          <w:sz w:val="32"/>
          <w:u w:val="single"/>
          <w:lang w:eastAsia="zh-CN"/>
        </w:rPr>
      </w:pPr>
      <w:r>
        <w:rPr>
          <w:rFonts w:hint="eastAsia" w:cs="Times New Roman"/>
          <w:bCs/>
          <w:kern w:val="2"/>
          <w:sz w:val="32"/>
          <w:u w:val="single"/>
          <w:lang w:eastAsia="zh-CN"/>
        </w:rPr>
        <w:t>☑</w:t>
      </w:r>
      <w:r>
        <w:rPr>
          <w:rFonts w:cs="Times New Roman"/>
          <w:bCs/>
          <w:kern w:val="2"/>
          <w:sz w:val="32"/>
          <w:u w:val="single"/>
          <w:lang w:eastAsia="zh-CN"/>
        </w:rPr>
        <w:t>毕业设计</w:t>
      </w:r>
      <w:r>
        <w:rPr>
          <w:rFonts w:eastAsia="Times New Roman" w:cs="Times New Roman"/>
          <w:bCs/>
          <w:kern w:val="2"/>
          <w:sz w:val="30"/>
          <w:u w:val="single"/>
          <w:lang w:eastAsia="zh-CN"/>
        </w:rPr>
        <w:t xml:space="preserve">   </w:t>
      </w:r>
      <w:r>
        <w:rPr>
          <w:rFonts w:hint="eastAsia" w:cs="Times New Roman"/>
          <w:bCs/>
          <w:kern w:val="2"/>
          <w:sz w:val="32"/>
          <w:u w:val="single"/>
          <w:lang w:eastAsia="zh-CN"/>
        </w:rPr>
        <w:t>□</w:t>
      </w:r>
      <w:r>
        <w:rPr>
          <w:rFonts w:cs="Times New Roman"/>
          <w:bCs/>
          <w:kern w:val="2"/>
          <w:sz w:val="32"/>
          <w:u w:val="single"/>
          <w:lang w:eastAsia="zh-CN"/>
        </w:rPr>
        <w:t xml:space="preserve">方案策划   </w:t>
      </w:r>
      <w:r>
        <w:rPr>
          <w:rFonts w:hint="eastAsia" w:cs="Times New Roman"/>
          <w:bCs/>
          <w:kern w:val="2"/>
          <w:sz w:val="32"/>
          <w:u w:val="single"/>
          <w:lang w:eastAsia="zh-CN"/>
        </w:rPr>
        <w:t xml:space="preserve"> </w:t>
      </w:r>
      <w:r>
        <w:rPr>
          <w:rFonts w:cs="Times New Roman"/>
          <w:bCs/>
          <w:kern w:val="2"/>
          <w:sz w:val="32"/>
          <w:szCs w:val="32"/>
          <w:u w:val="single"/>
          <w:lang w:eastAsia="zh-CN"/>
        </w:rPr>
        <w:t xml:space="preserve"> </w:t>
      </w:r>
      <w:r>
        <w:rPr>
          <w:rFonts w:cs="Times New Roman"/>
          <w:bCs/>
          <w:kern w:val="2"/>
          <w:sz w:val="28"/>
          <w:szCs w:val="28"/>
          <w:u w:val="single"/>
          <w:lang w:eastAsia="zh-CN"/>
        </w:rPr>
        <w:t xml:space="preserve">  </w:t>
      </w:r>
    </w:p>
    <w:p w14:paraId="4D9F2E93">
      <w:pPr>
        <w:widowControl/>
        <w:spacing w:after="0" w:line="800" w:lineRule="exact"/>
        <w:ind w:left="840" w:firstLine="420" w:firstLineChars="0"/>
        <w:jc w:val="both"/>
        <w:rPr>
          <w:rFonts w:eastAsia="Times New Roman" w:cs="Times New Roman"/>
          <w:bCs/>
          <w:kern w:val="2"/>
          <w:sz w:val="30"/>
          <w:u w:val="single"/>
          <w:lang w:eastAsia="zh-CN"/>
        </w:rPr>
      </w:pPr>
      <w:r>
        <w:rPr>
          <w:rFonts w:hint="eastAsia" w:cs="Times New Roman"/>
          <w:b/>
          <w:kern w:val="2"/>
          <w:sz w:val="32"/>
          <w:lang w:eastAsia="zh-CN"/>
        </w:rPr>
        <w:t>专</w:t>
      </w:r>
      <w:r>
        <w:rPr>
          <w:rFonts w:cs="Times New Roman"/>
          <w:b/>
          <w:kern w:val="2"/>
          <w:sz w:val="32"/>
          <w:lang w:eastAsia="zh-CN"/>
        </w:rPr>
        <w:t xml:space="preserve">    </w:t>
      </w:r>
      <w:r>
        <w:rPr>
          <w:rFonts w:hint="eastAsia" w:cs="Times New Roman"/>
          <w:b/>
          <w:kern w:val="2"/>
          <w:sz w:val="32"/>
          <w:lang w:eastAsia="zh-CN"/>
        </w:rPr>
        <w:t>业</w:t>
      </w:r>
      <w:r>
        <w:rPr>
          <w:rFonts w:cs="Times New Roman"/>
          <w:b/>
          <w:kern w:val="2"/>
          <w:sz w:val="32"/>
          <w:lang w:eastAsia="zh-CN"/>
        </w:rPr>
        <w:t>：</w:t>
      </w:r>
      <w:r>
        <w:rPr>
          <w:rFonts w:eastAsia="Times New Roman" w:cs="Times New Roman"/>
          <w:bCs/>
          <w:kern w:val="2"/>
          <w:sz w:val="30"/>
          <w:u w:val="single"/>
          <w:lang w:eastAsia="zh-CN"/>
        </w:rPr>
        <w:t xml:space="preserve">  </w:t>
      </w:r>
      <w:r>
        <w:rPr>
          <w:rFonts w:cs="Times New Roman"/>
          <w:bCs/>
          <w:kern w:val="2"/>
          <w:sz w:val="32"/>
          <w:u w:val="single"/>
          <w:lang w:eastAsia="zh-CN"/>
        </w:rPr>
        <w:t>数据科学与大数据技术（本）</w:t>
      </w:r>
      <w:r>
        <w:rPr>
          <w:rFonts w:hint="eastAsia" w:cs="Times New Roman"/>
          <w:bCs/>
          <w:kern w:val="2"/>
          <w:sz w:val="28"/>
          <w:szCs w:val="28"/>
          <w:u w:val="single"/>
          <w:lang w:eastAsia="zh-CN"/>
        </w:rPr>
        <w:t xml:space="preserve">  </w:t>
      </w:r>
    </w:p>
    <w:p w14:paraId="6ECAA6D3">
      <w:pPr>
        <w:widowControl/>
        <w:spacing w:after="0" w:line="800" w:lineRule="exact"/>
        <w:ind w:left="840" w:firstLine="420" w:firstLineChars="0"/>
        <w:jc w:val="both"/>
        <w:rPr>
          <w:rFonts w:cs="Times New Roman"/>
          <w:bCs/>
          <w:kern w:val="2"/>
          <w:sz w:val="32"/>
          <w:szCs w:val="32"/>
          <w:u w:val="single"/>
          <w:lang w:eastAsia="zh-CN"/>
        </w:rPr>
      </w:pPr>
      <w:bookmarkStart w:id="0" w:name="OLE_LINK2"/>
      <w:r>
        <w:rPr>
          <w:rFonts w:cs="Times New Roman"/>
          <w:b/>
          <w:kern w:val="2"/>
          <w:sz w:val="32"/>
          <w:lang w:eastAsia="zh-CN"/>
        </w:rPr>
        <w:t>姓    名：</w:t>
      </w:r>
      <w:r>
        <w:rPr>
          <w:rFonts w:eastAsia="Times New Roman" w:cs="Times New Roman"/>
          <w:bCs/>
          <w:kern w:val="2"/>
          <w:sz w:val="30"/>
          <w:u w:val="single"/>
          <w:lang w:eastAsia="zh-CN"/>
        </w:rPr>
        <w:t xml:space="preserve"> </w:t>
      </w:r>
      <w:r>
        <w:rPr>
          <w:rFonts w:cs="Times New Roman"/>
          <w:bCs/>
          <w:kern w:val="2"/>
          <w:sz w:val="30"/>
          <w:u w:val="single"/>
          <w:lang w:eastAsia="zh-CN"/>
        </w:rPr>
        <w:t xml:space="preserve">            </w:t>
      </w:r>
      <w:r>
        <w:rPr>
          <w:rFonts w:hint="eastAsia" w:cs="Times New Roman"/>
          <w:kern w:val="2"/>
          <w:sz w:val="32"/>
          <w:u w:val="single"/>
          <w:lang w:eastAsia="zh-CN"/>
        </w:rPr>
        <w:t>侯轶超</w:t>
      </w:r>
      <w:r>
        <w:rPr>
          <w:rFonts w:cs="Times New Roman"/>
          <w:bCs/>
          <w:kern w:val="2"/>
          <w:sz w:val="30"/>
          <w:u w:val="single"/>
          <w:lang w:eastAsia="zh-CN"/>
        </w:rPr>
        <w:t xml:space="preserve">          </w:t>
      </w:r>
      <w:r>
        <w:rPr>
          <w:rFonts w:hint="eastAsia" w:cs="Times New Roman"/>
          <w:bCs/>
          <w:kern w:val="2"/>
          <w:sz w:val="32"/>
          <w:szCs w:val="32"/>
          <w:u w:val="single"/>
          <w:lang w:eastAsia="zh-CN"/>
        </w:rPr>
        <w:t xml:space="preserve">  </w:t>
      </w:r>
    </w:p>
    <w:bookmarkEnd w:id="0"/>
    <w:p w14:paraId="6F6EDC4B">
      <w:pPr>
        <w:widowControl/>
        <w:spacing w:after="0" w:line="800" w:lineRule="exact"/>
        <w:ind w:left="1245" w:leftChars="519" w:firstLine="0" w:firstLineChars="0"/>
        <w:jc w:val="both"/>
        <w:rPr>
          <w:rFonts w:cs="Times New Roman"/>
          <w:bCs/>
          <w:kern w:val="2"/>
          <w:sz w:val="28"/>
          <w:szCs w:val="28"/>
          <w:u w:val="single"/>
          <w:lang w:eastAsia="zh-CN"/>
        </w:rPr>
      </w:pPr>
      <w:r>
        <w:rPr>
          <w:rFonts w:cs="Times New Roman"/>
          <w:b/>
          <w:bCs/>
          <w:kern w:val="2"/>
          <w:sz w:val="32"/>
          <w:lang w:eastAsia="zh-CN"/>
        </w:rPr>
        <w:t>指导教师：</w:t>
      </w:r>
      <w:r>
        <w:rPr>
          <w:rFonts w:eastAsia="Times New Roman" w:cs="Times New Roman"/>
          <w:bCs/>
          <w:kern w:val="2"/>
          <w:sz w:val="30"/>
          <w:u w:val="single"/>
          <w:lang w:eastAsia="zh-CN"/>
        </w:rPr>
        <w:t xml:space="preserve"> </w:t>
      </w:r>
      <w:r>
        <w:rPr>
          <w:rFonts w:cs="Times New Roman"/>
          <w:bCs/>
          <w:kern w:val="2"/>
          <w:sz w:val="30"/>
          <w:u w:val="single"/>
          <w:lang w:eastAsia="zh-CN"/>
        </w:rPr>
        <w:t xml:space="preserve">       </w:t>
      </w:r>
      <w:r>
        <w:rPr>
          <w:rFonts w:hint="eastAsia" w:cs="Times New Roman"/>
          <w:bCs/>
          <w:kern w:val="2"/>
          <w:sz w:val="30"/>
          <w:u w:val="single"/>
          <w:lang w:eastAsia="zh-CN"/>
        </w:rPr>
        <w:t xml:space="preserve">     </w:t>
      </w:r>
      <w:r>
        <w:rPr>
          <w:rFonts w:hint="eastAsia" w:cs="Times New Roman"/>
          <w:bCs/>
          <w:kern w:val="2"/>
          <w:sz w:val="32"/>
          <w:u w:val="single"/>
          <w:lang w:eastAsia="zh-CN"/>
        </w:rPr>
        <w:t xml:space="preserve">刘  宁    </w:t>
      </w:r>
      <w:r>
        <w:rPr>
          <w:rFonts w:cs="Times New Roman"/>
          <w:bCs/>
          <w:kern w:val="2"/>
          <w:sz w:val="30"/>
          <w:u w:val="single"/>
          <w:lang w:eastAsia="zh-CN"/>
        </w:rPr>
        <w:t xml:space="preserve">      </w:t>
      </w:r>
      <w:r>
        <w:rPr>
          <w:rFonts w:cs="Times New Roman"/>
          <w:bCs/>
          <w:kern w:val="2"/>
          <w:sz w:val="32"/>
          <w:szCs w:val="32"/>
          <w:u w:val="single"/>
          <w:lang w:eastAsia="zh-CN"/>
        </w:rPr>
        <w:t xml:space="preserve">  </w:t>
      </w:r>
    </w:p>
    <w:p w14:paraId="0B061BF7">
      <w:pPr>
        <w:widowControl/>
        <w:spacing w:after="0" w:line="800" w:lineRule="exact"/>
        <w:ind w:left="1221" w:leftChars="509" w:firstLine="0" w:firstLineChars="0"/>
        <w:jc w:val="both"/>
        <w:rPr>
          <w:rFonts w:cs="Times New Roman"/>
          <w:bCs/>
          <w:kern w:val="2"/>
          <w:sz w:val="32"/>
          <w:szCs w:val="32"/>
          <w:lang w:eastAsia="zh-CN"/>
        </w:rPr>
      </w:pPr>
      <w:r>
        <w:rPr>
          <w:rFonts w:cs="Times New Roman"/>
          <w:b/>
          <w:bCs/>
          <w:kern w:val="2"/>
          <w:sz w:val="32"/>
          <w:lang w:eastAsia="zh-CN"/>
        </w:rPr>
        <w:t>答辩日期：</w:t>
      </w:r>
      <w:r>
        <w:rPr>
          <w:rFonts w:eastAsia="Times New Roman" w:cs="Times New Roman"/>
          <w:bCs/>
          <w:kern w:val="2"/>
          <w:sz w:val="30"/>
          <w:u w:val="single"/>
          <w:lang w:eastAsia="zh-CN"/>
        </w:rPr>
        <w:t xml:space="preserve"> </w:t>
      </w:r>
      <w:r>
        <w:rPr>
          <w:rFonts w:cs="Times New Roman"/>
          <w:bCs/>
          <w:kern w:val="2"/>
          <w:sz w:val="30"/>
          <w:u w:val="single"/>
          <w:lang w:eastAsia="zh-CN"/>
        </w:rPr>
        <w:t xml:space="preserve">   </w:t>
      </w:r>
      <w:r>
        <w:rPr>
          <w:rFonts w:cs="Times New Roman"/>
          <w:bCs/>
          <w:kern w:val="2"/>
          <w:sz w:val="32"/>
          <w:szCs w:val="24"/>
          <w:u w:val="single"/>
          <w:lang w:eastAsia="zh-CN"/>
        </w:rPr>
        <w:t xml:space="preserve"> </w:t>
      </w:r>
      <w:r>
        <w:rPr>
          <w:rFonts w:hint="eastAsia" w:cs="Times New Roman"/>
          <w:bCs/>
          <w:kern w:val="2"/>
          <w:sz w:val="28"/>
          <w:u w:val="single"/>
          <w:lang w:eastAsia="zh-CN"/>
        </w:rPr>
        <w:t xml:space="preserve"> </w:t>
      </w:r>
      <w:r>
        <w:rPr>
          <w:rFonts w:cs="Times New Roman"/>
          <w:bCs/>
          <w:kern w:val="2"/>
          <w:sz w:val="32"/>
          <w:szCs w:val="24"/>
          <w:u w:val="single"/>
          <w:lang w:eastAsia="zh-CN"/>
        </w:rPr>
        <w:t xml:space="preserve"> </w:t>
      </w:r>
      <w:r>
        <w:rPr>
          <w:rFonts w:cs="Times New Roman"/>
          <w:bCs/>
          <w:kern w:val="2"/>
          <w:sz w:val="30"/>
          <w:u w:val="single"/>
          <w:lang w:eastAsia="zh-CN"/>
        </w:rPr>
        <w:t xml:space="preserve"> </w:t>
      </w:r>
      <w:r>
        <w:rPr>
          <w:rFonts w:eastAsia="DengXian" w:cs="Times New Roman"/>
          <w:kern w:val="2"/>
          <w:sz w:val="32"/>
          <w:szCs w:val="32"/>
          <w:u w:val="single"/>
          <w:lang w:eastAsia="zh-CN"/>
        </w:rPr>
        <w:t>202</w:t>
      </w:r>
      <w:r>
        <w:rPr>
          <w:rFonts w:hint="eastAsia" w:eastAsia="DengXian" w:cs="Times New Roman"/>
          <w:kern w:val="2"/>
          <w:sz w:val="32"/>
          <w:szCs w:val="32"/>
          <w:u w:val="single"/>
          <w:lang w:eastAsia="zh-CN"/>
        </w:rPr>
        <w:t>6</w:t>
      </w:r>
      <w:r>
        <w:rPr>
          <w:rFonts w:cs="Times New Roman"/>
          <w:kern w:val="2"/>
          <w:sz w:val="32"/>
          <w:u w:val="single"/>
          <w:lang w:eastAsia="zh-CN"/>
        </w:rPr>
        <w:t>年</w:t>
      </w:r>
      <w:r>
        <w:rPr>
          <w:rFonts w:hint="eastAsia" w:cs="Times New Roman"/>
          <w:kern w:val="2"/>
          <w:sz w:val="32"/>
          <w:u w:val="single"/>
          <w:lang w:eastAsia="zh-CN"/>
        </w:rPr>
        <w:t>4</w:t>
      </w:r>
      <w:r>
        <w:rPr>
          <w:rFonts w:cs="Times New Roman"/>
          <w:kern w:val="2"/>
          <w:sz w:val="32"/>
          <w:u w:val="single"/>
          <w:lang w:eastAsia="zh-CN"/>
        </w:rPr>
        <w:t>月</w:t>
      </w:r>
      <w:r>
        <w:rPr>
          <w:rFonts w:hint="eastAsia" w:cs="Times New Roman"/>
          <w:kern w:val="2"/>
          <w:sz w:val="32"/>
          <w:u w:val="single"/>
          <w:lang w:eastAsia="zh-CN"/>
        </w:rPr>
        <w:t>25</w:t>
      </w:r>
      <w:r>
        <w:rPr>
          <w:rFonts w:cs="Times New Roman"/>
          <w:kern w:val="2"/>
          <w:sz w:val="32"/>
          <w:u w:val="single"/>
          <w:lang w:eastAsia="zh-CN"/>
        </w:rPr>
        <w:t>日</w:t>
      </w:r>
      <w:r>
        <w:rPr>
          <w:rFonts w:hint="eastAsia" w:cs="Times New Roman"/>
          <w:kern w:val="2"/>
          <w:sz w:val="32"/>
          <w:u w:val="single"/>
          <w:lang w:eastAsia="zh-CN"/>
        </w:rPr>
        <w:t xml:space="preserve"> </w:t>
      </w:r>
      <w:r>
        <w:rPr>
          <w:rFonts w:cs="Times New Roman"/>
          <w:bCs/>
          <w:kern w:val="2"/>
          <w:sz w:val="32"/>
          <w:szCs w:val="24"/>
          <w:u w:val="single"/>
          <w:lang w:eastAsia="zh-CN"/>
        </w:rPr>
        <w:t xml:space="preserve">     </w:t>
      </w:r>
      <w:r>
        <w:rPr>
          <w:rFonts w:cs="Times New Roman"/>
          <w:bCs/>
          <w:kern w:val="2"/>
          <w:sz w:val="32"/>
          <w:szCs w:val="32"/>
          <w:u w:val="single"/>
          <w:lang w:eastAsia="zh-CN"/>
        </w:rPr>
        <w:t xml:space="preserve"> </w:t>
      </w:r>
    </w:p>
    <w:p w14:paraId="046B89CF">
      <w:pPr>
        <w:widowControl w:val="0"/>
        <w:spacing w:after="156" w:afterLines="50" w:line="240" w:lineRule="auto"/>
        <w:ind w:firstLine="0" w:firstLineChars="0"/>
        <w:jc w:val="both"/>
        <w:rPr>
          <w:rFonts w:hint="eastAsia" w:ascii="SimSun" w:hAnsi="SimSun" w:cs="Times New Roman"/>
          <w:b/>
          <w:kern w:val="2"/>
          <w:szCs w:val="24"/>
          <w:lang w:eastAsia="zh-CN"/>
        </w:rPr>
      </w:pPr>
    </w:p>
    <w:p w14:paraId="2C926AB8">
      <w:pPr>
        <w:widowControl w:val="0"/>
        <w:spacing w:after="156" w:afterLines="50" w:line="240" w:lineRule="auto"/>
        <w:ind w:firstLine="0" w:firstLineChars="0"/>
        <w:jc w:val="both"/>
        <w:rPr>
          <w:rFonts w:hint="eastAsia" w:ascii="SimSun" w:hAnsi="SimSun" w:cs="Times New Roman"/>
          <w:b/>
          <w:kern w:val="2"/>
          <w:szCs w:val="24"/>
          <w:lang w:eastAsia="zh-CN"/>
        </w:rPr>
      </w:pPr>
    </w:p>
    <w:p w14:paraId="0814E83E">
      <w:pPr>
        <w:widowControl w:val="0"/>
        <w:spacing w:after="0" w:line="240" w:lineRule="auto"/>
        <w:ind w:firstLine="0" w:firstLineChars="0"/>
        <w:jc w:val="center"/>
        <w:rPr>
          <w:rFonts w:hint="eastAsia" w:ascii="SimSun" w:hAnsi="SimSun" w:cs="Times New Roman"/>
          <w:b/>
          <w:kern w:val="2"/>
          <w:sz w:val="32"/>
          <w:szCs w:val="24"/>
          <w:lang w:eastAsia="zh-CN"/>
        </w:rPr>
      </w:pPr>
      <w:r>
        <w:rPr>
          <w:rFonts w:cs="Times New Roman"/>
          <w:b/>
          <w:kern w:val="2"/>
          <w:sz w:val="32"/>
          <w:szCs w:val="24"/>
          <w:lang w:eastAsia="zh-CN"/>
        </w:rPr>
        <w:t>202</w:t>
      </w:r>
      <w:r>
        <w:rPr>
          <w:rFonts w:hint="eastAsia" w:cs="Times New Roman"/>
          <w:b/>
          <w:kern w:val="2"/>
          <w:sz w:val="32"/>
          <w:szCs w:val="24"/>
          <w:lang w:eastAsia="zh-CN"/>
        </w:rPr>
        <w:t>6</w:t>
      </w:r>
      <w:r>
        <w:rPr>
          <w:rFonts w:cs="Times New Roman"/>
          <w:b/>
          <w:kern w:val="2"/>
          <w:sz w:val="32"/>
          <w:szCs w:val="24"/>
          <w:lang w:eastAsia="zh-CN"/>
        </w:rPr>
        <w:t xml:space="preserve"> 年 </w:t>
      </w:r>
      <w:r>
        <w:rPr>
          <w:rFonts w:hint="eastAsia" w:cs="Times New Roman"/>
          <w:b/>
          <w:kern w:val="2"/>
          <w:sz w:val="32"/>
          <w:szCs w:val="24"/>
          <w:lang w:eastAsia="zh-CN"/>
        </w:rPr>
        <w:t>4 月</w:t>
      </w:r>
    </w:p>
    <w:p w14:paraId="251E4C5F">
      <w:pPr>
        <w:widowControl/>
        <w:spacing w:line="240" w:lineRule="auto"/>
        <w:ind w:firstLine="0" w:firstLineChars="0"/>
        <w:jc w:val="center"/>
        <w:rPr>
          <w:rFonts w:hint="eastAsia" w:ascii="SimSun" w:hAnsi="SimSun" w:cs="Times New Roman"/>
          <w:b/>
          <w:color w:val="000000"/>
          <w:sz w:val="32"/>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pgNumType w:fmt="lowerRoman" w:start="1"/>
          <w:cols w:space="720" w:num="1"/>
          <w:docGrid w:type="linesAndChars" w:linePitch="312" w:charSpace="0"/>
        </w:sectPr>
      </w:pPr>
    </w:p>
    <w:p w14:paraId="166494AF">
      <w:pPr>
        <w:widowControl w:val="0"/>
        <w:spacing w:after="120" w:line="240" w:lineRule="auto"/>
        <w:ind w:left="0" w:leftChars="0" w:right="29" w:rightChars="12" w:firstLine="0" w:firstLineChars="0"/>
        <w:jc w:val="center"/>
        <w:rPr>
          <w:rFonts w:ascii="SimHei" w:hAnsi="Times New Roman" w:eastAsia="SimHei" w:cs="Times New Roman"/>
          <w:color w:val="000000"/>
          <w:kern w:val="2"/>
          <w:sz w:val="32"/>
          <w:szCs w:val="32"/>
          <w:lang w:val="en-US" w:eastAsia="zh-CN" w:bidi="ar-SA"/>
        </w:rPr>
      </w:pPr>
      <w:r>
        <w:rPr>
          <w:rFonts w:hint="eastAsia" w:ascii="SimHei" w:hAnsi="Times New Roman" w:eastAsia="SimHei" w:cs="Times New Roman"/>
          <w:color w:val="000000"/>
          <w:kern w:val="2"/>
          <w:sz w:val="32"/>
          <w:szCs w:val="32"/>
          <w:lang w:val="en-US" w:eastAsia="zh-CN" w:bidi="ar-SA"/>
        </w:rPr>
        <w:t>诚信声明</w:t>
      </w:r>
    </w:p>
    <w:p w14:paraId="2BA8AB95">
      <w:pPr>
        <w:widowControl w:val="0"/>
        <w:spacing w:after="120" w:line="400" w:lineRule="exact"/>
        <w:ind w:left="480" w:leftChars="200" w:right="29" w:rightChars="12" w:firstLine="548" w:firstLineChars="196"/>
        <w:jc w:val="both"/>
        <w:rPr>
          <w:rFonts w:ascii="Calibri" w:hAnsi="Calibri" w:cs="Times New Roman"/>
          <w:color w:val="000000"/>
          <w:kern w:val="2"/>
          <w:sz w:val="28"/>
          <w:szCs w:val="24"/>
          <w:lang w:eastAsia="zh-CN"/>
        </w:rPr>
      </w:pPr>
    </w:p>
    <w:p w14:paraId="00CB3AD7">
      <w:pPr>
        <w:widowControl w:val="0"/>
        <w:spacing w:after="120" w:line="360" w:lineRule="auto"/>
        <w:ind w:left="0" w:leftChars="0" w:right="29" w:rightChars="12" w:firstLine="560" w:firstLineChars="200"/>
        <w:jc w:val="both"/>
        <w:rPr>
          <w:rFonts w:ascii="Times New Roman" w:hAnsi="Times New Roman" w:eastAsia="SimSun" w:cs="Times New Roman"/>
          <w:color w:val="000000"/>
          <w:kern w:val="2"/>
          <w:sz w:val="28"/>
          <w:szCs w:val="24"/>
          <w:lang w:val="en-US" w:eastAsia="zh-CN" w:bidi="ar-SA"/>
        </w:rPr>
      </w:pPr>
      <w:r>
        <w:rPr>
          <w:rFonts w:hint="eastAsia" w:ascii="Times New Roman" w:hAnsi="Times New Roman" w:eastAsia="SimSun" w:cs="Times New Roman"/>
          <w:color w:val="000000"/>
          <w:kern w:val="2"/>
          <w:sz w:val="28"/>
          <w:szCs w:val="24"/>
          <w:lang w:val="en-US" w:eastAsia="zh-CN" w:bidi="ar-SA"/>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或集体已经发表或在网上发表的论文。</w:t>
      </w:r>
    </w:p>
    <w:p w14:paraId="0F9CF711">
      <w:pPr>
        <w:widowControl w:val="0"/>
        <w:spacing w:after="120" w:line="360" w:lineRule="auto"/>
        <w:ind w:left="0" w:leftChars="0" w:right="29" w:rightChars="12" w:firstLine="560" w:firstLineChars="200"/>
        <w:jc w:val="both"/>
        <w:rPr>
          <w:rFonts w:ascii="Times New Roman" w:hAnsi="Times New Roman" w:eastAsia="SimSun" w:cs="Times New Roman"/>
          <w:color w:val="000000"/>
          <w:kern w:val="2"/>
          <w:sz w:val="28"/>
          <w:szCs w:val="24"/>
          <w:lang w:val="en-US" w:eastAsia="zh-CN" w:bidi="ar-SA"/>
        </w:rPr>
      </w:pPr>
      <w:r>
        <w:rPr>
          <w:rFonts w:hint="eastAsia" w:ascii="Times New Roman" w:hAnsi="Times New Roman" w:eastAsia="SimSun" w:cs="Times New Roman"/>
          <w:color w:val="000000"/>
          <w:kern w:val="2"/>
          <w:sz w:val="28"/>
          <w:szCs w:val="24"/>
          <w:lang w:val="en-US" w:eastAsia="zh-CN" w:bidi="ar-SA"/>
        </w:rPr>
        <w:t>本声明的法律结果由本人承担。</w:t>
      </w:r>
    </w:p>
    <w:p w14:paraId="13BEFA0E">
      <w:pPr>
        <w:widowControl w:val="0"/>
        <w:spacing w:after="120" w:line="360" w:lineRule="auto"/>
        <w:ind w:left="480" w:leftChars="200" w:right="29" w:rightChars="12" w:firstLine="548" w:firstLineChars="196"/>
        <w:jc w:val="both"/>
        <w:rPr>
          <w:rFonts w:ascii="Times New Roman" w:hAnsi="Times New Roman" w:eastAsia="SimSun" w:cs="Times New Roman"/>
          <w:color w:val="000000"/>
          <w:kern w:val="2"/>
          <w:sz w:val="28"/>
          <w:szCs w:val="24"/>
          <w:lang w:val="en-US" w:eastAsia="zh-CN" w:bidi="ar-SA"/>
        </w:rPr>
      </w:pPr>
    </w:p>
    <w:p w14:paraId="208BB6E1">
      <w:pPr>
        <w:widowControl w:val="0"/>
        <w:spacing w:after="0" w:line="360" w:lineRule="auto"/>
        <w:ind w:left="3780" w:firstLine="0" w:firstLineChars="0"/>
        <w:jc w:val="both"/>
        <w:rPr>
          <w:rFonts w:cs="Times New Roman"/>
          <w:color w:val="000000"/>
          <w:kern w:val="2"/>
          <w:sz w:val="28"/>
          <w:lang w:eastAsia="zh-CN"/>
        </w:rPr>
      </w:pPr>
      <w:r>
        <w:rPr>
          <w:rFonts w:hint="eastAsia" w:cs="Times New Roman"/>
          <w:color w:val="000000"/>
          <w:kern w:val="2"/>
          <w:sz w:val="28"/>
          <w:lang w:eastAsia="zh-CN"/>
        </w:rPr>
        <w:t>论文（设计）作者签名：</w:t>
      </w:r>
    </w:p>
    <w:p w14:paraId="2AF39205">
      <w:pPr>
        <w:widowControl w:val="0"/>
        <w:spacing w:after="120" w:line="360" w:lineRule="auto"/>
        <w:ind w:left="3360" w:leftChars="0" w:right="29" w:rightChars="12" w:firstLine="420" w:firstLineChars="150"/>
        <w:jc w:val="both"/>
        <w:rPr>
          <w:rFonts w:ascii="Times New Roman" w:hAnsi="Times New Roman" w:eastAsia="SimSun" w:cs="Times New Roman"/>
          <w:color w:val="000000"/>
          <w:kern w:val="2"/>
          <w:sz w:val="28"/>
          <w:szCs w:val="24"/>
          <w:lang w:val="en-US" w:eastAsia="zh-CN" w:bidi="ar-SA"/>
        </w:rPr>
      </w:pPr>
      <w:r>
        <w:rPr>
          <w:rFonts w:hint="eastAsia" w:ascii="Times New Roman" w:hAnsi="Times New Roman" w:eastAsia="SimSun" w:cs="Times New Roman"/>
          <w:color w:val="000000"/>
          <w:kern w:val="2"/>
          <w:sz w:val="28"/>
          <w:szCs w:val="24"/>
          <w:lang w:val="en-US" w:eastAsia="zh-CN" w:bidi="ar-SA"/>
        </w:rPr>
        <w:t>日</w:t>
      </w:r>
      <w:r>
        <w:rPr>
          <w:rFonts w:ascii="Times New Roman" w:hAnsi="Times New Roman" w:eastAsia="SimSun" w:cs="Times New Roman"/>
          <w:color w:val="000000"/>
          <w:kern w:val="2"/>
          <w:sz w:val="28"/>
          <w:szCs w:val="24"/>
          <w:lang w:val="en-US" w:eastAsia="zh-CN" w:bidi="ar-SA"/>
        </w:rPr>
        <w:t xml:space="preserve">  </w:t>
      </w:r>
      <w:r>
        <w:rPr>
          <w:rFonts w:hint="eastAsia" w:ascii="Times New Roman" w:hAnsi="Times New Roman" w:eastAsia="SimSun" w:cs="Times New Roman"/>
          <w:color w:val="000000"/>
          <w:kern w:val="2"/>
          <w:sz w:val="28"/>
          <w:szCs w:val="24"/>
          <w:lang w:val="en-US" w:eastAsia="zh-CN" w:bidi="ar-SA"/>
        </w:rPr>
        <w:t>期：2026年</w:t>
      </w:r>
      <w:r>
        <w:rPr>
          <w:rFonts w:ascii="Times New Roman" w:hAnsi="Times New Roman" w:eastAsia="SimSun" w:cs="Times New Roman"/>
          <w:color w:val="000000"/>
          <w:kern w:val="2"/>
          <w:sz w:val="28"/>
          <w:szCs w:val="24"/>
          <w:lang w:val="en-US" w:eastAsia="zh-CN" w:bidi="ar-SA"/>
        </w:rPr>
        <w:t xml:space="preserve"> </w:t>
      </w:r>
      <w:r>
        <w:rPr>
          <w:rFonts w:hint="eastAsia" w:ascii="Times New Roman" w:hAnsi="Times New Roman" w:eastAsia="SimSun" w:cs="Times New Roman"/>
          <w:color w:val="000000"/>
          <w:kern w:val="2"/>
          <w:sz w:val="28"/>
          <w:szCs w:val="24"/>
          <w:lang w:val="en-US" w:eastAsia="zh-CN" w:bidi="ar-SA"/>
        </w:rPr>
        <w:t>4月25日</w:t>
      </w:r>
    </w:p>
    <w:p w14:paraId="1B8C3781">
      <w:pPr>
        <w:widowControl w:val="0"/>
        <w:spacing w:after="120" w:line="360" w:lineRule="auto"/>
        <w:ind w:left="3360" w:leftChars="0" w:right="29" w:rightChars="12" w:firstLine="420" w:firstLineChars="150"/>
        <w:jc w:val="both"/>
        <w:rPr>
          <w:rFonts w:hint="eastAsia" w:ascii="Times New Roman" w:hAnsi="Times New Roman" w:eastAsia="SimSun" w:cs="Times New Roman"/>
          <w:color w:val="000000"/>
          <w:kern w:val="2"/>
          <w:sz w:val="28"/>
          <w:szCs w:val="24"/>
          <w:lang w:val="en-US" w:eastAsia="zh-CN" w:bidi="ar-SA"/>
        </w:rPr>
      </w:pPr>
    </w:p>
    <w:p w14:paraId="4B64E5B5">
      <w:pPr>
        <w:pStyle w:val="3"/>
        <w:keepNext/>
        <w:keepLines/>
        <w:pageBreakBefore/>
        <w:spacing w:before="312" w:beforeLines="100" w:after="312" w:afterLines="100" w:line="400" w:lineRule="exact"/>
        <w:ind w:firstLine="0" w:firstLineChars="0"/>
        <w:jc w:val="center"/>
        <w:rPr>
          <w:rFonts w:hint="eastAsia" w:eastAsia="SimHei"/>
          <w:color w:val="auto"/>
          <w:lang w:val="en-US" w:eastAsia="zh-CN"/>
        </w:rPr>
      </w:pPr>
      <w:bookmarkStart w:id="1" w:name="_Toc25854"/>
      <w:r>
        <w:rPr>
          <w:rFonts w:hint="default" w:ascii="Times New Roman" w:hAnsi="Times New Roman" w:eastAsia="SimHei"/>
          <w:b w:val="0"/>
          <w:color w:val="auto"/>
          <w:sz w:val="32"/>
        </w:rPr>
        <w:t>基于Django的碳排放分析及预测可视化平台的设计与实现</w:t>
      </w:r>
      <w:r>
        <w:rPr>
          <w:rFonts w:hint="default" w:ascii="Times New Roman" w:hAnsi="Times New Roman" w:eastAsia="SimHei"/>
          <w:b w:val="0"/>
          <w:color w:val="auto"/>
          <w:sz w:val="32"/>
        </w:rPr>
        <w:br w:type="textWrapping"/>
      </w:r>
      <w:bookmarkEnd w:id="1"/>
    </w:p>
    <w:p w14:paraId="370AA6A7">
      <w:pPr>
        <w:spacing w:line="400" w:lineRule="exact"/>
        <w:ind w:firstLine="482" w:firstLineChars="200"/>
        <w:jc w:val="both"/>
        <w:rPr>
          <w:color w:val="auto"/>
        </w:rPr>
      </w:pPr>
      <w:bookmarkStart w:id="2" w:name="_Toc129364740"/>
      <w:bookmarkStart w:id="3" w:name="_Toc196778938"/>
      <w:r>
        <w:rPr>
          <w:rFonts w:hint="eastAsia" w:cs="Times New Roman"/>
          <w:b/>
          <w:kern w:val="2"/>
          <w:lang w:eastAsia="zh-CN"/>
        </w:rPr>
        <w:t>摘要：</w:t>
      </w:r>
      <w:bookmarkEnd w:id="2"/>
      <w:bookmarkEnd w:id="3"/>
      <w:r>
        <w:rPr>
          <w:rFonts w:ascii="Times New Roman" w:hAnsi="Times New Roman" w:eastAsia="SimSun"/>
          <w:b w:val="0"/>
          <w:color w:val="auto"/>
          <w:sz w:val="24"/>
        </w:rPr>
        <w:t>随着全球气候变化问题日益严峻，碳排放治理已成为各国政府和社会各界高度关注的焦点议题。中国作为全球最大的碳排放国，于2020年明确提出"碳达峰、碳中和"双碳目标，力争在2030年前实现碳达峰、2060年前实现碳中和。在此背景下，如何利用信息化手段实现碳排放数据的高效采集、科学分析和精准预测，已成为推动绿色低碳转型的关键技术需求。传统的碳排放管理方式多依赖人工统计和报表分析，存在数据处理效率低、分析维度单一、预测精度不高等问题，难以满足当前碳排放精细化管理的实际需要。</w:t>
      </w:r>
    </w:p>
    <w:p w14:paraId="6822CB77">
      <w:pPr>
        <w:spacing w:line="400" w:lineRule="exact"/>
        <w:ind w:firstLine="480" w:firstLineChars="200"/>
        <w:jc w:val="both"/>
        <w:rPr>
          <w:color w:val="auto"/>
        </w:rPr>
      </w:pPr>
      <w:r>
        <w:rPr>
          <w:rFonts w:ascii="Times New Roman" w:hAnsi="Times New Roman" w:eastAsia="SimSun"/>
          <w:b w:val="0"/>
          <w:color w:val="auto"/>
          <w:sz w:val="24"/>
        </w:rPr>
        <w:t>本论文设计并实现了一套基于Django框架的碳排放分析及预测可视化平台。该平台以Python为主要开发语言，采用Django Web框架构建后端服务，使用SQLite数据库进行数据持久化存储，前端利用Bootstrap框架搭建响应式界面并集成ECharts实现数据的多维度可视化展示。系统涵盖数据仪表盘、排放趋势分析、排放结构分析、影响因素分析、智能预测、预警中心等核心功能模块，支持按年份、季度、地区、行业、排放源等多维度进行碳排放数据的交互式查询与分析。在智能预测方面，系统集成了LSTM、CNN及CNN-LSTM混合模型三种预测算法，能够基于历史排放数据对未来碳排放趋势进行科学预测，并提供MAE、RMSE、R²等模型评估指标。</w:t>
      </w:r>
    </w:p>
    <w:p w14:paraId="78E6D061">
      <w:pPr>
        <w:spacing w:line="400" w:lineRule="exact"/>
        <w:ind w:firstLine="480" w:firstLineChars="200"/>
        <w:jc w:val="both"/>
        <w:rPr>
          <w:color w:val="auto"/>
        </w:rPr>
      </w:pPr>
      <w:r>
        <w:rPr>
          <w:rFonts w:ascii="Times New Roman" w:hAnsi="Times New Roman" w:eastAsia="SimSun"/>
          <w:b w:val="0"/>
          <w:color w:val="auto"/>
          <w:sz w:val="24"/>
        </w:rPr>
        <w:t>系统实现了管理员和普通用户两种角色的权限分离管理，管理员可进行用户管理、数据管理、排放源配置、阈值设置、模型管理和操作日志查看等后台管理功能，普通用户可使用数据概览、多维分析、智能预测和预警查看等前台分析功能。系统采用模块化的Django应用架构，将用户管理、排放数据、数据分析、智能预测和预警管理划分为独立的业务模块，各模块通过RESTful API进行数据交互，具有良好的可维护性和可扩展性。经过测试验证，该平台运行稳定、界面友好、功能完善，能够有效支撑碳排放数据的采集、分析、预测与预警全流程管理，为碳排放监测与决策支持提供了一种实用的技术解决方案。</w:t>
      </w:r>
    </w:p>
    <w:p w14:paraId="107BB2A6">
      <w:pPr>
        <w:spacing w:line="400" w:lineRule="exact"/>
        <w:ind w:firstLine="482" w:firstLineChars="200"/>
        <w:jc w:val="both"/>
        <w:rPr>
          <w:rFonts w:ascii="Times New Roman" w:hAnsi="Times New Roman" w:eastAsia="SimSun"/>
          <w:b w:val="0"/>
          <w:color w:val="auto"/>
          <w:sz w:val="24"/>
        </w:rPr>
      </w:pPr>
      <w:r>
        <w:rPr>
          <w:rFonts w:ascii="Times New Roman" w:hAnsi="Times New Roman" w:eastAsia="SimSun"/>
          <w:b/>
          <w:color w:val="auto"/>
          <w:sz w:val="24"/>
        </w:rPr>
        <w:t>关键词：</w:t>
      </w:r>
      <w:r>
        <w:rPr>
          <w:rFonts w:ascii="Times New Roman" w:hAnsi="Times New Roman" w:eastAsia="SimSun"/>
          <w:b w:val="0"/>
          <w:color w:val="auto"/>
          <w:sz w:val="24"/>
        </w:rPr>
        <w:t xml:space="preserve"> 碳排放分析；Django框架；数据可视化；智能预测</w:t>
      </w:r>
    </w:p>
    <w:p w14:paraId="51DD6DA8">
      <w:pPr>
        <w:rPr>
          <w:rFonts w:ascii="Times New Roman" w:hAnsi="Times New Roman" w:eastAsia="SimSun"/>
          <w:b w:val="0"/>
          <w:color w:val="auto"/>
          <w:sz w:val="24"/>
        </w:rPr>
      </w:pPr>
      <w:r>
        <w:rPr>
          <w:rFonts w:ascii="Times New Roman" w:hAnsi="Times New Roman" w:eastAsia="SimSun"/>
          <w:b w:val="0"/>
          <w:color w:val="auto"/>
          <w:sz w:val="24"/>
        </w:rPr>
        <w:br w:type="page"/>
      </w:r>
    </w:p>
    <w:p w14:paraId="25554295">
      <w:pPr>
        <w:spacing w:line="400" w:lineRule="exact"/>
        <w:ind w:firstLine="480" w:firstLineChars="200"/>
        <w:jc w:val="both"/>
        <w:rPr>
          <w:rFonts w:ascii="Times New Roman" w:hAnsi="Times New Roman" w:eastAsia="SimSun"/>
          <w:b w:val="0"/>
          <w:color w:val="auto"/>
          <w:sz w:val="24"/>
        </w:rPr>
      </w:pPr>
    </w:p>
    <w:p w14:paraId="0EAD28E5">
      <w:pPr>
        <w:widowControl/>
        <w:spacing w:before="312" w:beforeLines="100" w:after="312" w:afterLines="100" w:line="400" w:lineRule="exact"/>
        <w:ind w:firstLine="0" w:firstLineChars="0"/>
        <w:jc w:val="center"/>
        <w:rPr>
          <w:rFonts w:cs="Times New Roman"/>
          <w:b/>
          <w:kern w:val="2"/>
          <w:sz w:val="32"/>
          <w:szCs w:val="32"/>
          <w:lang w:eastAsia="zh-CN"/>
        </w:rPr>
      </w:pPr>
      <w:r>
        <w:rPr>
          <w:rFonts w:hint="default" w:cs="Times New Roman"/>
          <w:b/>
          <w:kern w:val="2"/>
          <w:sz w:val="32"/>
          <w:szCs w:val="32"/>
          <w:lang w:eastAsia="zh-CN"/>
        </w:rPr>
        <w:t>Design and implementation of carbon emission analysis and prediction visualization platform based on Django</w:t>
      </w:r>
    </w:p>
    <w:p w14:paraId="400B2FD8">
      <w:pPr>
        <w:spacing w:line="400" w:lineRule="exact"/>
        <w:ind w:firstLine="482" w:firstLineChars="200"/>
        <w:jc w:val="both"/>
        <w:rPr>
          <w:color w:val="auto"/>
        </w:rPr>
      </w:pPr>
      <w:bookmarkStart w:id="4" w:name="_Toc196778939"/>
      <w:r>
        <w:rPr>
          <w:rFonts w:eastAsia="SimSun" w:cs="Times New Roman"/>
          <w:b/>
          <w:kern w:val="2"/>
          <w:lang w:eastAsia="zh-CN"/>
        </w:rPr>
        <w:t>Abstract：</w:t>
      </w:r>
      <w:bookmarkEnd w:id="4"/>
      <w:r>
        <w:rPr>
          <w:rFonts w:ascii="Times New Roman" w:hAnsi="Times New Roman" w:eastAsia="SimSun"/>
          <w:b w:val="0"/>
          <w:color w:val="auto"/>
          <w:sz w:val="24"/>
        </w:rPr>
        <w:t>With the increasing severity of global climate change, carbon emission governance has become a focal issue for governments and societies worldwide. As the world's largest carbon emitter, China proposed the "Carbon Peak and Carbon Neutrality" dual-carbon goals in 2020, aiming to achieve peak carbon emissions before 2030 and carbon neutrality before 2060. In this context, leveraging information technology for efficient collection, scientific analysis, and accurate prediction of carbon emission data has become a key technical demand driving the green and low-carbon transition.</w:t>
      </w:r>
    </w:p>
    <w:p w14:paraId="690635D9">
      <w:pPr>
        <w:spacing w:line="400" w:lineRule="exact"/>
        <w:ind w:firstLine="480" w:firstLineChars="200"/>
        <w:jc w:val="both"/>
        <w:rPr>
          <w:color w:val="auto"/>
        </w:rPr>
      </w:pPr>
      <w:r>
        <w:rPr>
          <w:rFonts w:ascii="Times New Roman" w:hAnsi="Times New Roman" w:eastAsia="SimSun"/>
          <w:b w:val="0"/>
          <w:color w:val="auto"/>
          <w:sz w:val="24"/>
        </w:rPr>
        <w:t>This thesis designs and implements a carbon emission analysis and prediction visualization platform based on the Django framework. The platform uses Python as the primary development language, employs the Django Web framework to build backend services, utilizes SQLite for data persistence, and integrates Bootstrap for responsive UI design with ECharts for multi-dimensional data visualization. The system encompasses core functional modules including a data dashboard, emission trend analysis, emission structure analysis, influencing factor analysis, intelligent prediction, and an alert center. It supports interactive querying and analysis by year, quarter, region, industry, and emission source. For intelligent prediction, the system integrates LSTM, CNN, and CNN-LSTM hybrid model algorithms to scientifically predict future emission trends based on historical data, providing evaluation metrics such as MAE, RMSE, and R².</w:t>
      </w:r>
    </w:p>
    <w:p w14:paraId="01215DFA">
      <w:pPr>
        <w:spacing w:line="400" w:lineRule="exact"/>
        <w:ind w:firstLine="480" w:firstLineChars="200"/>
        <w:jc w:val="both"/>
        <w:rPr>
          <w:color w:val="auto"/>
        </w:rPr>
      </w:pPr>
      <w:r>
        <w:rPr>
          <w:rFonts w:ascii="Times New Roman" w:hAnsi="Times New Roman" w:eastAsia="SimSun"/>
          <w:b w:val="0"/>
          <w:color w:val="auto"/>
          <w:sz w:val="24"/>
        </w:rPr>
        <w:t>The system implements role-based access control with administrator and regular user roles. Testing confirms that the platform operates stably with a user-friendly interface and comprehensive functionality, effectively supporting the full-process management of carbon emission data collection, analysis, prediction, and early warning.</w:t>
      </w:r>
    </w:p>
    <w:p w14:paraId="097B408B">
      <w:pPr>
        <w:spacing w:line="400" w:lineRule="exact"/>
        <w:ind w:firstLine="480" w:firstLineChars="200"/>
        <w:jc w:val="both"/>
        <w:rPr>
          <w:rFonts w:ascii="Times New Roman" w:hAnsi="Times New Roman" w:eastAsia="SimSun"/>
          <w:b w:val="0"/>
          <w:color w:val="auto"/>
          <w:sz w:val="24"/>
        </w:rPr>
      </w:pPr>
      <w:r>
        <w:rPr>
          <w:rFonts w:ascii="Times New Roman" w:hAnsi="Times New Roman" w:eastAsia="SimSun"/>
          <w:b w:val="0"/>
          <w:color w:val="auto"/>
          <w:sz w:val="24"/>
        </w:rPr>
        <w:t>Keywords: Carbon Emission Analysis; Django Framework; Data Visualization; Intelligent Prediction</w:t>
      </w:r>
    </w:p>
    <w:p w14:paraId="3B52EB35">
      <w:pPr>
        <w:widowControl w:val="0"/>
        <w:spacing w:before="312" w:beforeLines="100" w:after="312" w:afterLines="100" w:line="360" w:lineRule="auto"/>
        <w:ind w:firstLine="0" w:firstLineChars="0"/>
        <w:jc w:val="center"/>
        <w:rPr>
          <w:rFonts w:hint="eastAsia" w:ascii="SimHei" w:hAnsi="SimHei" w:eastAsia="SimHei" w:cs="Times New Roman"/>
          <w:b/>
          <w:color w:val="000000"/>
          <w:kern w:val="2"/>
          <w:sz w:val="32"/>
          <w:szCs w:val="32"/>
          <w:lang w:eastAsia="zh-CN"/>
        </w:rPr>
      </w:pPr>
      <w:r>
        <w:rPr>
          <w:rFonts w:ascii="Times New Roman" w:hAnsi="Times New Roman" w:eastAsia="SimSun"/>
          <w:b w:val="0"/>
          <w:color w:val="auto"/>
          <w:sz w:val="24"/>
        </w:rPr>
        <w:br w:type="page"/>
      </w:r>
      <w:r>
        <w:rPr>
          <w:rFonts w:ascii="SimHei" w:hAnsi="SimHei" w:eastAsia="SimHei" w:cs="Times New Roman"/>
          <w:b/>
          <w:color w:val="000000"/>
          <w:kern w:val="2"/>
          <w:sz w:val="32"/>
          <w:szCs w:val="32"/>
          <w:lang w:eastAsia="zh-CN"/>
        </w:rPr>
        <w:t>目</w:t>
      </w:r>
      <w:r>
        <w:rPr>
          <w:rFonts w:hint="eastAsia" w:ascii="SimHei" w:hAnsi="SimHei" w:eastAsia="SimHei" w:cs="Times New Roman"/>
          <w:b/>
          <w:color w:val="000000"/>
          <w:kern w:val="2"/>
          <w:sz w:val="32"/>
          <w:szCs w:val="32"/>
          <w:lang w:eastAsia="zh-CN"/>
        </w:rPr>
        <w:t xml:space="preserve"> </w:t>
      </w:r>
      <w:r>
        <w:rPr>
          <w:rFonts w:ascii="SimHei" w:hAnsi="SimHei" w:eastAsia="SimHei" w:cs="Times New Roman"/>
          <w:b/>
          <w:color w:val="000000"/>
          <w:kern w:val="2"/>
          <w:sz w:val="32"/>
          <w:szCs w:val="32"/>
          <w:lang w:eastAsia="zh-CN"/>
        </w:rPr>
        <w:t xml:space="preserve"> 录</w:t>
      </w:r>
    </w:p>
    <w:sdt>
      <w:sdtPr>
        <w:rPr>
          <w:rFonts w:ascii="SimSun" w:hAnsi="SimSun" w:eastAsia="SimSun" w:cstheme="minorBidi"/>
          <w:sz w:val="21"/>
          <w:szCs w:val="22"/>
          <w:lang w:val="en-US" w:eastAsia="en-US" w:bidi="ar-SA"/>
        </w:rPr>
        <w:id w:val="147467865"/>
        <w15:color w:val="DBDBDB"/>
        <w:docPartObj>
          <w:docPartGallery w:val="Table of Contents"/>
          <w:docPartUnique/>
        </w:docPartObj>
      </w:sdtPr>
      <w:sdtEndPr>
        <w:rPr>
          <w:rFonts w:ascii="Times New Roman" w:hAnsi="Times New Roman" w:eastAsia="SimSun" w:cstheme="minorBidi"/>
          <w:color w:val="auto"/>
          <w:sz w:val="24"/>
          <w:szCs w:val="22"/>
          <w:lang w:val="en-US" w:eastAsia="en-US" w:bidi="ar-SA"/>
        </w:rPr>
      </w:sdtEndPr>
      <w:sdtContent>
        <w:p w14:paraId="2E4E57B7">
          <w:pPr>
            <w:pStyle w:val="27"/>
            <w:tabs>
              <w:tab w:val="right" w:leader="dot" w:pos="8505"/>
            </w:tabs>
          </w:pPr>
          <w:r>
            <w:rPr>
              <w:rFonts w:ascii="Times New Roman" w:hAnsi="Times New Roman" w:eastAsia="SimSun"/>
              <w:b w:val="0"/>
              <w:color w:val="auto"/>
              <w:sz w:val="24"/>
            </w:rPr>
            <w:fldChar w:fldCharType="begin"/>
          </w:r>
          <w:r>
            <w:rPr>
              <w:rFonts w:ascii="Times New Roman" w:hAnsi="Times New Roman" w:eastAsia="SimSun"/>
              <w:b w:val="0"/>
              <w:color w:val="auto"/>
              <w:sz w:val="24"/>
            </w:rPr>
            <w:instrText xml:space="preserve">TOC \o "1-3" \h \u </w:instrText>
          </w:r>
          <w:r>
            <w:rPr>
              <w:rFonts w:ascii="Times New Roman" w:hAnsi="Times New Roman" w:eastAsia="SimSun"/>
              <w:b w:val="0"/>
              <w:color w:val="auto"/>
              <w:sz w:val="24"/>
            </w:rPr>
            <w:fldChar w:fldCharType="separate"/>
          </w:r>
        </w:p>
        <w:p w14:paraId="59E9A990">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_Toc26129 </w:instrText>
          </w:r>
          <w:r>
            <w:rPr>
              <w:rFonts w:ascii="Times New Roman" w:hAnsi="Times New Roman" w:eastAsia="SimSun"/>
            </w:rPr>
            <w:fldChar w:fldCharType="separate"/>
          </w:r>
          <w:r>
            <w:rPr>
              <w:rFonts w:ascii="Times New Roman" w:hAnsi="Times New Roman" w:eastAsia="SimHei"/>
            </w:rPr>
            <w:t>第1章  绪  论</w:t>
          </w:r>
          <w:r>
            <w:tab/>
          </w:r>
          <w:r>
            <w:fldChar w:fldCharType="begin"/>
          </w:r>
          <w:r>
            <w:instrText xml:space="preserve"> PAGEREF _Toc26129 \h </w:instrText>
          </w:r>
          <w:r>
            <w:fldChar w:fldCharType="separate"/>
          </w:r>
          <w:r>
            <w:t>7</w:t>
          </w:r>
          <w:r>
            <w:fldChar w:fldCharType="end"/>
          </w:r>
          <w:r>
            <w:rPr>
              <w:rFonts w:ascii="Times New Roman" w:hAnsi="Times New Roman" w:eastAsia="SimSun"/>
              <w:color w:val="auto"/>
            </w:rPr>
            <w:fldChar w:fldCharType="end"/>
          </w:r>
        </w:p>
        <w:p w14:paraId="11595CD7">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_Toc21834 </w:instrText>
          </w:r>
          <w:r>
            <w:rPr>
              <w:rFonts w:ascii="Times New Roman" w:hAnsi="Times New Roman" w:eastAsia="SimSun"/>
            </w:rPr>
            <w:fldChar w:fldCharType="separate"/>
          </w:r>
          <w:r>
            <w:rPr>
              <w:rFonts w:ascii="Times New Roman" w:hAnsi="Times New Roman" w:eastAsia="SimSun"/>
            </w:rPr>
            <w:t>1.1 论文研究的背景和意义</w:t>
          </w:r>
          <w:r>
            <w:tab/>
          </w:r>
          <w:r>
            <w:fldChar w:fldCharType="begin"/>
          </w:r>
          <w:r>
            <w:instrText xml:space="preserve"> PAGEREF _Toc21834 \h </w:instrText>
          </w:r>
          <w:r>
            <w:fldChar w:fldCharType="separate"/>
          </w:r>
          <w:r>
            <w:t>7</w:t>
          </w:r>
          <w:r>
            <w:fldChar w:fldCharType="end"/>
          </w:r>
          <w:r>
            <w:rPr>
              <w:rFonts w:ascii="Times New Roman" w:hAnsi="Times New Roman" w:eastAsia="SimSun"/>
              <w:color w:val="auto"/>
            </w:rPr>
            <w:fldChar w:fldCharType="end"/>
          </w:r>
        </w:p>
        <w:p w14:paraId="7C3B3EFE">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_Toc15416 </w:instrText>
          </w:r>
          <w:r>
            <w:rPr>
              <w:rFonts w:ascii="Times New Roman" w:hAnsi="Times New Roman" w:eastAsia="SimSun"/>
            </w:rPr>
            <w:fldChar w:fldCharType="separate"/>
          </w:r>
          <w:r>
            <w:rPr>
              <w:rFonts w:ascii="Times New Roman" w:hAnsi="Times New Roman" w:eastAsia="SimSun"/>
            </w:rPr>
            <w:t>1.2 国内外现状</w:t>
          </w:r>
          <w:r>
            <w:tab/>
          </w:r>
          <w:r>
            <w:fldChar w:fldCharType="begin"/>
          </w:r>
          <w:r>
            <w:instrText xml:space="preserve"> PAGEREF _Toc15416 \h </w:instrText>
          </w:r>
          <w:r>
            <w:fldChar w:fldCharType="separate"/>
          </w:r>
          <w:r>
            <w:t>8</w:t>
          </w:r>
          <w:r>
            <w:fldChar w:fldCharType="end"/>
          </w:r>
          <w:r>
            <w:rPr>
              <w:rFonts w:ascii="Times New Roman" w:hAnsi="Times New Roman" w:eastAsia="SimSun"/>
              <w:color w:val="auto"/>
            </w:rPr>
            <w:fldChar w:fldCharType="end"/>
          </w:r>
        </w:p>
        <w:p w14:paraId="2921438C">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_Toc1488 </w:instrText>
          </w:r>
          <w:r>
            <w:rPr>
              <w:rFonts w:ascii="Times New Roman" w:hAnsi="Times New Roman" w:eastAsia="SimSun"/>
            </w:rPr>
            <w:fldChar w:fldCharType="separate"/>
          </w:r>
          <w:r>
            <w:rPr>
              <w:rFonts w:ascii="Times New Roman" w:hAnsi="Times New Roman" w:eastAsia="SimSun"/>
            </w:rPr>
            <w:t>1.2.1 国外研究现状</w:t>
          </w:r>
          <w:r>
            <w:tab/>
          </w:r>
          <w:r>
            <w:fldChar w:fldCharType="begin"/>
          </w:r>
          <w:r>
            <w:instrText xml:space="preserve"> PAGEREF _Toc1488 \h </w:instrText>
          </w:r>
          <w:r>
            <w:fldChar w:fldCharType="separate"/>
          </w:r>
          <w:r>
            <w:t>8</w:t>
          </w:r>
          <w:r>
            <w:fldChar w:fldCharType="end"/>
          </w:r>
          <w:r>
            <w:rPr>
              <w:rFonts w:ascii="Times New Roman" w:hAnsi="Times New Roman" w:eastAsia="SimSun"/>
              <w:color w:val="auto"/>
            </w:rPr>
            <w:fldChar w:fldCharType="end"/>
          </w:r>
        </w:p>
        <w:p w14:paraId="222E3926">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_Toc6476 </w:instrText>
          </w:r>
          <w:r>
            <w:rPr>
              <w:rFonts w:ascii="Times New Roman" w:hAnsi="Times New Roman" w:eastAsia="SimSun"/>
            </w:rPr>
            <w:fldChar w:fldCharType="separate"/>
          </w:r>
          <w:r>
            <w:rPr>
              <w:rFonts w:ascii="Times New Roman" w:hAnsi="Times New Roman" w:eastAsia="SimSun"/>
            </w:rPr>
            <w:t>1.2.2 国内研究现状</w:t>
          </w:r>
          <w:r>
            <w:tab/>
          </w:r>
          <w:r>
            <w:fldChar w:fldCharType="begin"/>
          </w:r>
          <w:r>
            <w:instrText xml:space="preserve"> PAGEREF _Toc6476 \h </w:instrText>
          </w:r>
          <w:r>
            <w:fldChar w:fldCharType="separate"/>
          </w:r>
          <w:r>
            <w:t>8</w:t>
          </w:r>
          <w:r>
            <w:fldChar w:fldCharType="end"/>
          </w:r>
          <w:r>
            <w:rPr>
              <w:rFonts w:ascii="Times New Roman" w:hAnsi="Times New Roman" w:eastAsia="SimSun"/>
              <w:color w:val="auto"/>
            </w:rPr>
            <w:fldChar w:fldCharType="end"/>
          </w:r>
        </w:p>
        <w:p w14:paraId="171A1351">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_Toc3006 </w:instrText>
          </w:r>
          <w:r>
            <w:rPr>
              <w:rFonts w:ascii="Times New Roman" w:hAnsi="Times New Roman" w:eastAsia="SimSun"/>
            </w:rPr>
            <w:fldChar w:fldCharType="separate"/>
          </w:r>
          <w:r>
            <w:rPr>
              <w:rFonts w:ascii="Times New Roman" w:hAnsi="Times New Roman" w:eastAsia="SimSun"/>
            </w:rPr>
            <w:t>1.3 论文研究的主要内容</w:t>
          </w:r>
          <w:r>
            <w:tab/>
          </w:r>
          <w:r>
            <w:fldChar w:fldCharType="begin"/>
          </w:r>
          <w:r>
            <w:instrText xml:space="preserve"> PAGEREF _Toc3006 \h </w:instrText>
          </w:r>
          <w:r>
            <w:fldChar w:fldCharType="separate"/>
          </w:r>
          <w:r>
            <w:t>9</w:t>
          </w:r>
          <w:r>
            <w:fldChar w:fldCharType="end"/>
          </w:r>
          <w:r>
            <w:rPr>
              <w:rFonts w:ascii="Times New Roman" w:hAnsi="Times New Roman" w:eastAsia="SimSun"/>
              <w:color w:val="auto"/>
            </w:rPr>
            <w:fldChar w:fldCharType="end"/>
          </w:r>
        </w:p>
        <w:p w14:paraId="18911DFC">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_Toc29865 </w:instrText>
          </w:r>
          <w:r>
            <w:rPr>
              <w:rFonts w:ascii="Times New Roman" w:hAnsi="Times New Roman" w:eastAsia="SimSun"/>
            </w:rPr>
            <w:fldChar w:fldCharType="separate"/>
          </w:r>
          <w:r>
            <w:rPr>
              <w:rFonts w:ascii="Times New Roman" w:hAnsi="Times New Roman" w:eastAsia="SimHei"/>
            </w:rPr>
            <w:t>第2章  课题概述及关键技术</w:t>
          </w:r>
          <w:r>
            <w:tab/>
          </w:r>
          <w:r>
            <w:fldChar w:fldCharType="begin"/>
          </w:r>
          <w:r>
            <w:instrText xml:space="preserve"> PAGEREF _Toc29865 \h </w:instrText>
          </w:r>
          <w:r>
            <w:fldChar w:fldCharType="separate"/>
          </w:r>
          <w:r>
            <w:t>11</w:t>
          </w:r>
          <w:r>
            <w:fldChar w:fldCharType="end"/>
          </w:r>
          <w:r>
            <w:rPr>
              <w:rFonts w:ascii="Times New Roman" w:hAnsi="Times New Roman" w:eastAsia="SimSun"/>
              <w:color w:val="auto"/>
            </w:rPr>
            <w:fldChar w:fldCharType="end"/>
          </w:r>
        </w:p>
        <w:p w14:paraId="449F812F">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_Toc25686 </w:instrText>
          </w:r>
          <w:r>
            <w:rPr>
              <w:rFonts w:ascii="Times New Roman" w:hAnsi="Times New Roman" w:eastAsia="SimSun"/>
            </w:rPr>
            <w:fldChar w:fldCharType="separate"/>
          </w:r>
          <w:r>
            <w:rPr>
              <w:rFonts w:ascii="Times New Roman" w:hAnsi="Times New Roman" w:eastAsia="SimSun"/>
            </w:rPr>
            <w:t>2.1 课题概述</w:t>
          </w:r>
          <w:r>
            <w:tab/>
          </w:r>
          <w:r>
            <w:fldChar w:fldCharType="begin"/>
          </w:r>
          <w:r>
            <w:instrText xml:space="preserve"> PAGEREF _Toc25686 \h </w:instrText>
          </w:r>
          <w:r>
            <w:fldChar w:fldCharType="separate"/>
          </w:r>
          <w:r>
            <w:t>11</w:t>
          </w:r>
          <w:r>
            <w:fldChar w:fldCharType="end"/>
          </w:r>
          <w:r>
            <w:rPr>
              <w:rFonts w:ascii="Times New Roman" w:hAnsi="Times New Roman" w:eastAsia="SimSun"/>
              <w:color w:val="auto"/>
            </w:rPr>
            <w:fldChar w:fldCharType="end"/>
          </w:r>
        </w:p>
        <w:p w14:paraId="20B74F80">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_Toc5240 </w:instrText>
          </w:r>
          <w:r>
            <w:rPr>
              <w:rFonts w:ascii="Times New Roman" w:hAnsi="Times New Roman" w:eastAsia="SimSun"/>
            </w:rPr>
            <w:fldChar w:fldCharType="separate"/>
          </w:r>
          <w:r>
            <w:rPr>
              <w:rFonts w:ascii="Times New Roman" w:hAnsi="Times New Roman" w:eastAsia="SimSun"/>
            </w:rPr>
            <w:t>2.2 关键技术介绍</w:t>
          </w:r>
          <w:r>
            <w:tab/>
          </w:r>
          <w:r>
            <w:fldChar w:fldCharType="begin"/>
          </w:r>
          <w:r>
            <w:instrText xml:space="preserve"> PAGEREF _Toc5240 \h </w:instrText>
          </w:r>
          <w:r>
            <w:fldChar w:fldCharType="separate"/>
          </w:r>
          <w:r>
            <w:t>11</w:t>
          </w:r>
          <w:r>
            <w:fldChar w:fldCharType="end"/>
          </w:r>
          <w:r>
            <w:rPr>
              <w:rFonts w:ascii="Times New Roman" w:hAnsi="Times New Roman" w:eastAsia="SimSun"/>
              <w:color w:val="auto"/>
            </w:rPr>
            <w:fldChar w:fldCharType="end"/>
          </w:r>
        </w:p>
        <w:p w14:paraId="06D4D6F7">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_Toc19269 </w:instrText>
          </w:r>
          <w:r>
            <w:rPr>
              <w:rFonts w:ascii="Times New Roman" w:hAnsi="Times New Roman" w:eastAsia="SimSun"/>
            </w:rPr>
            <w:fldChar w:fldCharType="separate"/>
          </w:r>
          <w:r>
            <w:rPr>
              <w:rFonts w:ascii="Times New Roman" w:hAnsi="Times New Roman" w:eastAsia="SimSun"/>
            </w:rPr>
            <w:t>2.2.1 Django Web框架</w:t>
          </w:r>
          <w:r>
            <w:tab/>
          </w:r>
          <w:r>
            <w:fldChar w:fldCharType="begin"/>
          </w:r>
          <w:r>
            <w:instrText xml:space="preserve"> PAGEREF _Toc19269 \h </w:instrText>
          </w:r>
          <w:r>
            <w:fldChar w:fldCharType="separate"/>
          </w:r>
          <w:r>
            <w:t>11</w:t>
          </w:r>
          <w:r>
            <w:fldChar w:fldCharType="end"/>
          </w:r>
          <w:r>
            <w:rPr>
              <w:rFonts w:ascii="Times New Roman" w:hAnsi="Times New Roman" w:eastAsia="SimSun"/>
              <w:color w:val="auto"/>
            </w:rPr>
            <w:fldChar w:fldCharType="end"/>
          </w:r>
        </w:p>
        <w:p w14:paraId="7EB41473">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_Toc17204 </w:instrText>
          </w:r>
          <w:r>
            <w:rPr>
              <w:rFonts w:ascii="Times New Roman" w:hAnsi="Times New Roman" w:eastAsia="SimSun"/>
            </w:rPr>
            <w:fldChar w:fldCharType="separate"/>
          </w:r>
          <w:r>
            <w:rPr>
              <w:rFonts w:ascii="Times New Roman" w:hAnsi="Times New Roman" w:eastAsia="SimSun"/>
            </w:rPr>
            <w:t>2.2.2 ECharts数据可视化库</w:t>
          </w:r>
          <w:r>
            <w:tab/>
          </w:r>
          <w:r>
            <w:fldChar w:fldCharType="begin"/>
          </w:r>
          <w:r>
            <w:instrText xml:space="preserve"> PAGEREF _Toc17204 \h </w:instrText>
          </w:r>
          <w:r>
            <w:fldChar w:fldCharType="separate"/>
          </w:r>
          <w:r>
            <w:t>12</w:t>
          </w:r>
          <w:r>
            <w:fldChar w:fldCharType="end"/>
          </w:r>
          <w:r>
            <w:rPr>
              <w:rFonts w:ascii="Times New Roman" w:hAnsi="Times New Roman" w:eastAsia="SimSun"/>
              <w:color w:val="auto"/>
            </w:rPr>
            <w:fldChar w:fldCharType="end"/>
          </w:r>
        </w:p>
        <w:p w14:paraId="61477A39">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_Toc28824 </w:instrText>
          </w:r>
          <w:r>
            <w:rPr>
              <w:rFonts w:ascii="Times New Roman" w:hAnsi="Times New Roman" w:eastAsia="SimSun"/>
            </w:rPr>
            <w:fldChar w:fldCharType="separate"/>
          </w:r>
          <w:r>
            <w:rPr>
              <w:rFonts w:ascii="Times New Roman" w:hAnsi="Times New Roman" w:eastAsia="SimSun"/>
            </w:rPr>
            <w:t>2.2.3 CNN-LSTM混合预测模型</w:t>
          </w:r>
          <w:r>
            <w:tab/>
          </w:r>
          <w:r>
            <w:fldChar w:fldCharType="begin"/>
          </w:r>
          <w:r>
            <w:instrText xml:space="preserve"> PAGEREF _Toc28824 \h </w:instrText>
          </w:r>
          <w:r>
            <w:fldChar w:fldCharType="separate"/>
          </w:r>
          <w:r>
            <w:t>13</w:t>
          </w:r>
          <w:r>
            <w:fldChar w:fldCharType="end"/>
          </w:r>
          <w:r>
            <w:rPr>
              <w:rFonts w:ascii="Times New Roman" w:hAnsi="Times New Roman" w:eastAsia="SimSun"/>
              <w:color w:val="auto"/>
            </w:rPr>
            <w:fldChar w:fldCharType="end"/>
          </w:r>
        </w:p>
        <w:p w14:paraId="723E7540">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_Toc10822 </w:instrText>
          </w:r>
          <w:r>
            <w:rPr>
              <w:rFonts w:ascii="Times New Roman" w:hAnsi="Times New Roman" w:eastAsia="SimSun"/>
            </w:rPr>
            <w:fldChar w:fldCharType="separate"/>
          </w:r>
          <w:r>
            <w:rPr>
              <w:rFonts w:ascii="Times New Roman" w:hAnsi="Times New Roman" w:eastAsia="SimSun"/>
            </w:rPr>
            <w:t>2.2.4 Bootstrap前端框架与SQLite数据库</w:t>
          </w:r>
          <w:r>
            <w:tab/>
          </w:r>
          <w:r>
            <w:fldChar w:fldCharType="begin"/>
          </w:r>
          <w:r>
            <w:instrText xml:space="preserve"> PAGEREF _Toc10822 \h </w:instrText>
          </w:r>
          <w:r>
            <w:fldChar w:fldCharType="separate"/>
          </w:r>
          <w:r>
            <w:t>14</w:t>
          </w:r>
          <w:r>
            <w:fldChar w:fldCharType="end"/>
          </w:r>
          <w:r>
            <w:rPr>
              <w:rFonts w:ascii="Times New Roman" w:hAnsi="Times New Roman" w:eastAsia="SimSun"/>
              <w:color w:val="auto"/>
            </w:rPr>
            <w:fldChar w:fldCharType="end"/>
          </w:r>
        </w:p>
        <w:p w14:paraId="2064D048">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_Toc29531 </w:instrText>
          </w:r>
          <w:r>
            <w:rPr>
              <w:rFonts w:ascii="Times New Roman" w:hAnsi="Times New Roman" w:eastAsia="SimSun"/>
            </w:rPr>
            <w:fldChar w:fldCharType="separate"/>
          </w:r>
          <w:r>
            <w:rPr>
              <w:rFonts w:ascii="Times New Roman" w:hAnsi="Times New Roman" w:eastAsia="SimHei"/>
            </w:rPr>
            <w:t>第3章  数据处理与存储</w:t>
          </w:r>
          <w:r>
            <w:tab/>
          </w:r>
          <w:r>
            <w:fldChar w:fldCharType="begin"/>
          </w:r>
          <w:r>
            <w:instrText xml:space="preserve"> PAGEREF _Toc29531 \h </w:instrText>
          </w:r>
          <w:r>
            <w:fldChar w:fldCharType="separate"/>
          </w:r>
          <w:r>
            <w:t>15</w:t>
          </w:r>
          <w:r>
            <w:fldChar w:fldCharType="end"/>
          </w:r>
          <w:r>
            <w:rPr>
              <w:rFonts w:ascii="Times New Roman" w:hAnsi="Times New Roman" w:eastAsia="SimSun"/>
              <w:color w:val="auto"/>
            </w:rPr>
            <w:fldChar w:fldCharType="end"/>
          </w:r>
        </w:p>
        <w:p w14:paraId="03372831">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_Toc17071 </w:instrText>
          </w:r>
          <w:r>
            <w:rPr>
              <w:rFonts w:ascii="Times New Roman" w:hAnsi="Times New Roman" w:eastAsia="SimSun"/>
            </w:rPr>
            <w:fldChar w:fldCharType="separate"/>
          </w:r>
          <w:r>
            <w:rPr>
              <w:rFonts w:ascii="Times New Roman" w:hAnsi="Times New Roman" w:eastAsia="SimSun"/>
            </w:rPr>
            <w:t>3.1 数据的来源及说明</w:t>
          </w:r>
          <w:r>
            <w:tab/>
          </w:r>
          <w:r>
            <w:fldChar w:fldCharType="begin"/>
          </w:r>
          <w:r>
            <w:instrText xml:space="preserve"> PAGEREF _Toc17071 \h </w:instrText>
          </w:r>
          <w:r>
            <w:fldChar w:fldCharType="separate"/>
          </w:r>
          <w:r>
            <w:t>15</w:t>
          </w:r>
          <w:r>
            <w:fldChar w:fldCharType="end"/>
          </w:r>
          <w:r>
            <w:rPr>
              <w:rFonts w:ascii="Times New Roman" w:hAnsi="Times New Roman" w:eastAsia="SimSun"/>
              <w:color w:val="auto"/>
            </w:rPr>
            <w:fldChar w:fldCharType="end"/>
          </w:r>
        </w:p>
        <w:p w14:paraId="7D4388A0">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_Toc28199 </w:instrText>
          </w:r>
          <w:r>
            <w:rPr>
              <w:rFonts w:ascii="Times New Roman" w:hAnsi="Times New Roman" w:eastAsia="SimSun"/>
            </w:rPr>
            <w:fldChar w:fldCharType="separate"/>
          </w:r>
          <w:r>
            <w:rPr>
              <w:rFonts w:ascii="Times New Roman" w:hAnsi="Times New Roman" w:eastAsia="SimSun"/>
            </w:rPr>
            <w:t>3.2 数据清洗</w:t>
          </w:r>
          <w:r>
            <w:tab/>
          </w:r>
          <w:r>
            <w:fldChar w:fldCharType="begin"/>
          </w:r>
          <w:r>
            <w:instrText xml:space="preserve"> PAGEREF _Toc28199 \h </w:instrText>
          </w:r>
          <w:r>
            <w:fldChar w:fldCharType="separate"/>
          </w:r>
          <w:r>
            <w:t>16</w:t>
          </w:r>
          <w:r>
            <w:fldChar w:fldCharType="end"/>
          </w:r>
          <w:r>
            <w:rPr>
              <w:rFonts w:ascii="Times New Roman" w:hAnsi="Times New Roman" w:eastAsia="SimSun"/>
              <w:color w:val="auto"/>
            </w:rPr>
            <w:fldChar w:fldCharType="end"/>
          </w:r>
        </w:p>
        <w:p w14:paraId="61F38E42">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_Toc5081 </w:instrText>
          </w:r>
          <w:r>
            <w:rPr>
              <w:rFonts w:ascii="Times New Roman" w:hAnsi="Times New Roman" w:eastAsia="SimSun"/>
            </w:rPr>
            <w:fldChar w:fldCharType="separate"/>
          </w:r>
          <w:r>
            <w:rPr>
              <w:rFonts w:ascii="Times New Roman" w:hAnsi="Times New Roman" w:eastAsia="SimSun"/>
            </w:rPr>
            <w:t>3.2.1 缺失值处理</w:t>
          </w:r>
          <w:r>
            <w:tab/>
          </w:r>
          <w:r>
            <w:fldChar w:fldCharType="begin"/>
          </w:r>
          <w:r>
            <w:instrText xml:space="preserve"> PAGEREF _Toc5081 \h </w:instrText>
          </w:r>
          <w:r>
            <w:fldChar w:fldCharType="separate"/>
          </w:r>
          <w:r>
            <w:t>17</w:t>
          </w:r>
          <w:r>
            <w:fldChar w:fldCharType="end"/>
          </w:r>
          <w:r>
            <w:rPr>
              <w:rFonts w:ascii="Times New Roman" w:hAnsi="Times New Roman" w:eastAsia="SimSun"/>
              <w:color w:val="auto"/>
            </w:rPr>
            <w:fldChar w:fldCharType="end"/>
          </w:r>
        </w:p>
        <w:p w14:paraId="0419EDA9">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_Toc3367 </w:instrText>
          </w:r>
          <w:r>
            <w:rPr>
              <w:rFonts w:ascii="Times New Roman" w:hAnsi="Times New Roman" w:eastAsia="SimSun"/>
            </w:rPr>
            <w:fldChar w:fldCharType="separate"/>
          </w:r>
          <w:r>
            <w:rPr>
              <w:rFonts w:ascii="Times New Roman" w:hAnsi="Times New Roman" w:eastAsia="SimSun"/>
            </w:rPr>
            <w:t>3.2.2 异常值检测与修正</w:t>
          </w:r>
          <w:r>
            <w:tab/>
          </w:r>
          <w:r>
            <w:fldChar w:fldCharType="begin"/>
          </w:r>
          <w:r>
            <w:instrText xml:space="preserve"> PAGEREF _Toc3367 \h </w:instrText>
          </w:r>
          <w:r>
            <w:fldChar w:fldCharType="separate"/>
          </w:r>
          <w:r>
            <w:t>18</w:t>
          </w:r>
          <w:r>
            <w:fldChar w:fldCharType="end"/>
          </w:r>
          <w:r>
            <w:rPr>
              <w:rFonts w:ascii="Times New Roman" w:hAnsi="Times New Roman" w:eastAsia="SimSun"/>
              <w:color w:val="auto"/>
            </w:rPr>
            <w:fldChar w:fldCharType="end"/>
          </w:r>
        </w:p>
        <w:p w14:paraId="088CF236">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_Toc31230 </w:instrText>
          </w:r>
          <w:r>
            <w:rPr>
              <w:rFonts w:ascii="Times New Roman" w:hAnsi="Times New Roman" w:eastAsia="SimSun"/>
            </w:rPr>
            <w:fldChar w:fldCharType="separate"/>
          </w:r>
          <w:r>
            <w:rPr>
              <w:rFonts w:ascii="Times New Roman" w:hAnsi="Times New Roman" w:eastAsia="SimSun"/>
            </w:rPr>
            <w:t>3.2.3 重复数据去除</w:t>
          </w:r>
          <w:r>
            <w:tab/>
          </w:r>
          <w:r>
            <w:fldChar w:fldCharType="begin"/>
          </w:r>
          <w:r>
            <w:instrText xml:space="preserve"> PAGEREF _Toc31230 \h </w:instrText>
          </w:r>
          <w:r>
            <w:fldChar w:fldCharType="separate"/>
          </w:r>
          <w:r>
            <w:t>20</w:t>
          </w:r>
          <w:r>
            <w:fldChar w:fldCharType="end"/>
          </w:r>
          <w:r>
            <w:rPr>
              <w:rFonts w:ascii="Times New Roman" w:hAnsi="Times New Roman" w:eastAsia="SimSun"/>
              <w:color w:val="auto"/>
            </w:rPr>
            <w:fldChar w:fldCharType="end"/>
          </w:r>
        </w:p>
        <w:p w14:paraId="5FD50AC4">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_Toc8552 </w:instrText>
          </w:r>
          <w:r>
            <w:rPr>
              <w:rFonts w:ascii="Times New Roman" w:hAnsi="Times New Roman" w:eastAsia="SimSun"/>
            </w:rPr>
            <w:fldChar w:fldCharType="separate"/>
          </w:r>
          <w:r>
            <w:rPr>
              <w:rFonts w:ascii="Times New Roman" w:hAnsi="Times New Roman" w:eastAsia="SimSun"/>
            </w:rPr>
            <w:t>3.3 数据存储</w:t>
          </w:r>
          <w:r>
            <w:tab/>
          </w:r>
          <w:r>
            <w:fldChar w:fldCharType="begin"/>
          </w:r>
          <w:r>
            <w:instrText xml:space="preserve"> PAGEREF _Toc8552 \h </w:instrText>
          </w:r>
          <w:r>
            <w:fldChar w:fldCharType="separate"/>
          </w:r>
          <w:r>
            <w:t>21</w:t>
          </w:r>
          <w:r>
            <w:fldChar w:fldCharType="end"/>
          </w:r>
          <w:r>
            <w:rPr>
              <w:rFonts w:ascii="Times New Roman" w:hAnsi="Times New Roman" w:eastAsia="SimSun"/>
              <w:color w:val="auto"/>
            </w:rPr>
            <w:fldChar w:fldCharType="end"/>
          </w:r>
        </w:p>
        <w:p w14:paraId="6C790BE2">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_Toc14541 </w:instrText>
          </w:r>
          <w:r>
            <w:rPr>
              <w:rFonts w:ascii="Times New Roman" w:hAnsi="Times New Roman" w:eastAsia="SimSun"/>
            </w:rPr>
            <w:fldChar w:fldCharType="separate"/>
          </w:r>
          <w:r>
            <w:rPr>
              <w:rFonts w:ascii="Times New Roman" w:hAnsi="Times New Roman" w:eastAsia="SimHei"/>
            </w:rPr>
            <w:t>第4章  可视化分析</w:t>
          </w:r>
          <w:r>
            <w:tab/>
          </w:r>
          <w:r>
            <w:fldChar w:fldCharType="begin"/>
          </w:r>
          <w:r>
            <w:instrText xml:space="preserve"> PAGEREF _Toc14541 \h </w:instrText>
          </w:r>
          <w:r>
            <w:fldChar w:fldCharType="separate"/>
          </w:r>
          <w:r>
            <w:t>24</w:t>
          </w:r>
          <w:r>
            <w:fldChar w:fldCharType="end"/>
          </w:r>
          <w:r>
            <w:rPr>
              <w:rFonts w:ascii="Times New Roman" w:hAnsi="Times New Roman" w:eastAsia="SimSun"/>
              <w:color w:val="auto"/>
            </w:rPr>
            <w:fldChar w:fldCharType="end"/>
          </w:r>
        </w:p>
        <w:p w14:paraId="70500CD1">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_Toc869 </w:instrText>
          </w:r>
          <w:r>
            <w:rPr>
              <w:rFonts w:ascii="Times New Roman" w:hAnsi="Times New Roman" w:eastAsia="SimSun"/>
            </w:rPr>
            <w:fldChar w:fldCharType="separate"/>
          </w:r>
          <w:r>
            <w:rPr>
              <w:rFonts w:ascii="Times New Roman" w:hAnsi="Times New Roman" w:eastAsia="SimSun"/>
            </w:rPr>
            <w:t>4.1 年度碳排放趋势分析</w:t>
          </w:r>
          <w:r>
            <w:tab/>
          </w:r>
          <w:r>
            <w:fldChar w:fldCharType="begin"/>
          </w:r>
          <w:r>
            <w:instrText xml:space="preserve"> PAGEREF _Toc869 \h </w:instrText>
          </w:r>
          <w:r>
            <w:fldChar w:fldCharType="separate"/>
          </w:r>
          <w:r>
            <w:t>24</w:t>
          </w:r>
          <w:r>
            <w:fldChar w:fldCharType="end"/>
          </w:r>
          <w:r>
            <w:rPr>
              <w:rFonts w:ascii="Times New Roman" w:hAnsi="Times New Roman" w:eastAsia="SimSun"/>
              <w:color w:val="auto"/>
            </w:rPr>
            <w:fldChar w:fldCharType="end"/>
          </w:r>
        </w:p>
        <w:p w14:paraId="187F423F">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_Toc1076 </w:instrText>
          </w:r>
          <w:r>
            <w:rPr>
              <w:rFonts w:ascii="Times New Roman" w:hAnsi="Times New Roman" w:eastAsia="SimSun"/>
            </w:rPr>
            <w:fldChar w:fldCharType="separate"/>
          </w:r>
          <w:r>
            <w:rPr>
              <w:rFonts w:ascii="Times New Roman" w:hAnsi="Times New Roman" w:eastAsia="SimSun"/>
            </w:rPr>
            <w:t>4.2 排放源结构分析</w:t>
          </w:r>
          <w:r>
            <w:tab/>
          </w:r>
          <w:r>
            <w:fldChar w:fldCharType="begin"/>
          </w:r>
          <w:r>
            <w:instrText xml:space="preserve"> PAGEREF _Toc1076 \h </w:instrText>
          </w:r>
          <w:r>
            <w:fldChar w:fldCharType="separate"/>
          </w:r>
          <w:r>
            <w:t>25</w:t>
          </w:r>
          <w:r>
            <w:fldChar w:fldCharType="end"/>
          </w:r>
          <w:r>
            <w:rPr>
              <w:rFonts w:ascii="Times New Roman" w:hAnsi="Times New Roman" w:eastAsia="SimSun"/>
              <w:color w:val="auto"/>
            </w:rPr>
            <w:fldChar w:fldCharType="end"/>
          </w:r>
        </w:p>
        <w:p w14:paraId="25D0CE2D">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_Toc26415 </w:instrText>
          </w:r>
          <w:r>
            <w:rPr>
              <w:rFonts w:ascii="Times New Roman" w:hAnsi="Times New Roman" w:eastAsia="SimSun"/>
            </w:rPr>
            <w:fldChar w:fldCharType="separate"/>
          </w:r>
          <w:r>
            <w:rPr>
              <w:rFonts w:ascii="Times New Roman" w:hAnsi="Times New Roman" w:eastAsia="SimSun"/>
            </w:rPr>
            <w:t>4.3 地区碳排放TOP10分析</w:t>
          </w:r>
          <w:r>
            <w:tab/>
          </w:r>
          <w:r>
            <w:fldChar w:fldCharType="begin"/>
          </w:r>
          <w:r>
            <w:instrText xml:space="preserve"> PAGEREF _Toc26415 \h </w:instrText>
          </w:r>
          <w:r>
            <w:fldChar w:fldCharType="separate"/>
          </w:r>
          <w:r>
            <w:t>26</w:t>
          </w:r>
          <w:r>
            <w:fldChar w:fldCharType="end"/>
          </w:r>
          <w:r>
            <w:rPr>
              <w:rFonts w:ascii="Times New Roman" w:hAnsi="Times New Roman" w:eastAsia="SimSun"/>
              <w:color w:val="auto"/>
            </w:rPr>
            <w:fldChar w:fldCharType="end"/>
          </w:r>
        </w:p>
        <w:p w14:paraId="47681B62">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_Toc14456 </w:instrText>
          </w:r>
          <w:r>
            <w:rPr>
              <w:rFonts w:ascii="Times New Roman" w:hAnsi="Times New Roman" w:eastAsia="SimSun"/>
            </w:rPr>
            <w:fldChar w:fldCharType="separate"/>
          </w:r>
          <w:r>
            <w:rPr>
              <w:rFonts w:ascii="Times New Roman" w:hAnsi="Times New Roman" w:eastAsia="SimSun"/>
            </w:rPr>
            <w:t>4.4 季度碳排放对比分析</w:t>
          </w:r>
          <w:r>
            <w:tab/>
          </w:r>
          <w:r>
            <w:fldChar w:fldCharType="begin"/>
          </w:r>
          <w:r>
            <w:instrText xml:space="preserve"> PAGEREF _Toc14456 \h </w:instrText>
          </w:r>
          <w:r>
            <w:fldChar w:fldCharType="separate"/>
          </w:r>
          <w:r>
            <w:t>27</w:t>
          </w:r>
          <w:r>
            <w:fldChar w:fldCharType="end"/>
          </w:r>
          <w:r>
            <w:rPr>
              <w:rFonts w:ascii="Times New Roman" w:hAnsi="Times New Roman" w:eastAsia="SimSun"/>
              <w:color w:val="auto"/>
            </w:rPr>
            <w:fldChar w:fldCharType="end"/>
          </w:r>
        </w:p>
        <w:p w14:paraId="2559F7FC">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_Toc5796 </w:instrText>
          </w:r>
          <w:r>
            <w:rPr>
              <w:rFonts w:ascii="Times New Roman" w:hAnsi="Times New Roman" w:eastAsia="SimSun"/>
            </w:rPr>
            <w:fldChar w:fldCharType="separate"/>
          </w:r>
          <w:r>
            <w:rPr>
              <w:rFonts w:ascii="Times New Roman" w:hAnsi="Times New Roman" w:eastAsia="SimSun"/>
            </w:rPr>
            <w:t>4.5 行业排放结构分析</w:t>
          </w:r>
          <w:r>
            <w:tab/>
          </w:r>
          <w:r>
            <w:fldChar w:fldCharType="begin"/>
          </w:r>
          <w:r>
            <w:instrText xml:space="preserve"> PAGEREF _Toc5796 \h </w:instrText>
          </w:r>
          <w:r>
            <w:fldChar w:fldCharType="separate"/>
          </w:r>
          <w:r>
            <w:t>28</w:t>
          </w:r>
          <w:r>
            <w:fldChar w:fldCharType="end"/>
          </w:r>
          <w:r>
            <w:rPr>
              <w:rFonts w:ascii="Times New Roman" w:hAnsi="Times New Roman" w:eastAsia="SimSun"/>
              <w:color w:val="auto"/>
            </w:rPr>
            <w:fldChar w:fldCharType="end"/>
          </w:r>
        </w:p>
        <w:p w14:paraId="694E0331">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_Toc1020 </w:instrText>
          </w:r>
          <w:r>
            <w:rPr>
              <w:rFonts w:ascii="Times New Roman" w:hAnsi="Times New Roman" w:eastAsia="SimSun"/>
            </w:rPr>
            <w:fldChar w:fldCharType="separate"/>
          </w:r>
          <w:r>
            <w:rPr>
              <w:rFonts w:ascii="Times New Roman" w:hAnsi="Times New Roman" w:eastAsia="SimSun"/>
            </w:rPr>
            <w:t>4.6 碳排放影响因素分析</w:t>
          </w:r>
          <w:r>
            <w:tab/>
          </w:r>
          <w:r>
            <w:fldChar w:fldCharType="begin"/>
          </w:r>
          <w:r>
            <w:instrText xml:space="preserve"> PAGEREF _Toc1020 \h </w:instrText>
          </w:r>
          <w:r>
            <w:fldChar w:fldCharType="separate"/>
          </w:r>
          <w:r>
            <w:t>29</w:t>
          </w:r>
          <w:r>
            <w:fldChar w:fldCharType="end"/>
          </w:r>
          <w:r>
            <w:rPr>
              <w:rFonts w:ascii="Times New Roman" w:hAnsi="Times New Roman" w:eastAsia="SimSun"/>
              <w:color w:val="auto"/>
            </w:rPr>
            <w:fldChar w:fldCharType="end"/>
          </w:r>
        </w:p>
        <w:p w14:paraId="303E64DE">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_Toc27279 </w:instrText>
          </w:r>
          <w:r>
            <w:rPr>
              <w:rFonts w:ascii="Times New Roman" w:hAnsi="Times New Roman" w:eastAsia="SimSun"/>
            </w:rPr>
            <w:fldChar w:fldCharType="separate"/>
          </w:r>
          <w:r>
            <w:rPr>
              <w:rFonts w:ascii="Times New Roman" w:hAnsi="Times New Roman" w:eastAsia="SimHei"/>
            </w:rPr>
            <w:t>第5章  可视化大屏的设计与实现</w:t>
          </w:r>
          <w:r>
            <w:tab/>
          </w:r>
          <w:r>
            <w:fldChar w:fldCharType="begin"/>
          </w:r>
          <w:r>
            <w:instrText xml:space="preserve"> PAGEREF _Toc27279 \h </w:instrText>
          </w:r>
          <w:r>
            <w:fldChar w:fldCharType="separate"/>
          </w:r>
          <w:r>
            <w:t>31</w:t>
          </w:r>
          <w:r>
            <w:fldChar w:fldCharType="end"/>
          </w:r>
          <w:r>
            <w:rPr>
              <w:rFonts w:ascii="Times New Roman" w:hAnsi="Times New Roman" w:eastAsia="SimSun"/>
              <w:color w:val="auto"/>
            </w:rPr>
            <w:fldChar w:fldCharType="end"/>
          </w:r>
        </w:p>
        <w:p w14:paraId="2872C0A6">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_Toc6255 </w:instrText>
          </w:r>
          <w:r>
            <w:rPr>
              <w:rFonts w:ascii="Times New Roman" w:hAnsi="Times New Roman" w:eastAsia="SimSun"/>
            </w:rPr>
            <w:fldChar w:fldCharType="separate"/>
          </w:r>
          <w:r>
            <w:rPr>
              <w:rFonts w:ascii="Times New Roman" w:hAnsi="Times New Roman" w:eastAsia="SimSun"/>
            </w:rPr>
            <w:t>5.1 可视化大屏的设计</w:t>
          </w:r>
          <w:r>
            <w:tab/>
          </w:r>
          <w:r>
            <w:fldChar w:fldCharType="begin"/>
          </w:r>
          <w:r>
            <w:instrText xml:space="preserve"> PAGEREF _Toc6255 \h </w:instrText>
          </w:r>
          <w:r>
            <w:fldChar w:fldCharType="separate"/>
          </w:r>
          <w:r>
            <w:t>31</w:t>
          </w:r>
          <w:r>
            <w:fldChar w:fldCharType="end"/>
          </w:r>
          <w:r>
            <w:rPr>
              <w:rFonts w:ascii="Times New Roman" w:hAnsi="Times New Roman" w:eastAsia="SimSun"/>
              <w:color w:val="auto"/>
            </w:rPr>
            <w:fldChar w:fldCharType="end"/>
          </w:r>
        </w:p>
        <w:p w14:paraId="4067246C">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_Toc25009 </w:instrText>
          </w:r>
          <w:r>
            <w:rPr>
              <w:rFonts w:ascii="Times New Roman" w:hAnsi="Times New Roman" w:eastAsia="SimSun"/>
            </w:rPr>
            <w:fldChar w:fldCharType="separate"/>
          </w:r>
          <w:r>
            <w:rPr>
              <w:rFonts w:ascii="Times New Roman" w:hAnsi="Times New Roman" w:eastAsia="SimSun"/>
            </w:rPr>
            <w:t>5.2 可视化大屏的实现</w:t>
          </w:r>
          <w:r>
            <w:tab/>
          </w:r>
          <w:r>
            <w:fldChar w:fldCharType="begin"/>
          </w:r>
          <w:r>
            <w:instrText xml:space="preserve"> PAGEREF _Toc25009 \h </w:instrText>
          </w:r>
          <w:r>
            <w:fldChar w:fldCharType="separate"/>
          </w:r>
          <w:r>
            <w:t>31</w:t>
          </w:r>
          <w:r>
            <w:fldChar w:fldCharType="end"/>
          </w:r>
          <w:r>
            <w:rPr>
              <w:rFonts w:ascii="Times New Roman" w:hAnsi="Times New Roman" w:eastAsia="SimSun"/>
              <w:color w:val="auto"/>
            </w:rPr>
            <w:fldChar w:fldCharType="end"/>
          </w:r>
        </w:p>
        <w:p w14:paraId="089E99B9">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_Toc26168 </w:instrText>
          </w:r>
          <w:r>
            <w:rPr>
              <w:rFonts w:ascii="Times New Roman" w:hAnsi="Times New Roman" w:eastAsia="SimSun"/>
            </w:rPr>
            <w:fldChar w:fldCharType="separate"/>
          </w:r>
          <w:r>
            <w:rPr>
              <w:rFonts w:ascii="Times New Roman" w:hAnsi="Times New Roman" w:eastAsia="SimSun"/>
            </w:rPr>
            <w:t>5.2.1 可视化大屏的前端实现</w:t>
          </w:r>
          <w:r>
            <w:tab/>
          </w:r>
          <w:r>
            <w:fldChar w:fldCharType="begin"/>
          </w:r>
          <w:r>
            <w:instrText xml:space="preserve"> PAGEREF _Toc26168 \h </w:instrText>
          </w:r>
          <w:r>
            <w:fldChar w:fldCharType="separate"/>
          </w:r>
          <w:r>
            <w:t>31</w:t>
          </w:r>
          <w:r>
            <w:fldChar w:fldCharType="end"/>
          </w:r>
          <w:r>
            <w:rPr>
              <w:rFonts w:ascii="Times New Roman" w:hAnsi="Times New Roman" w:eastAsia="SimSun"/>
              <w:color w:val="auto"/>
            </w:rPr>
            <w:fldChar w:fldCharType="end"/>
          </w:r>
        </w:p>
        <w:p w14:paraId="44E40661">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_Toc27889 </w:instrText>
          </w:r>
          <w:r>
            <w:rPr>
              <w:rFonts w:ascii="Times New Roman" w:hAnsi="Times New Roman" w:eastAsia="SimSun"/>
            </w:rPr>
            <w:fldChar w:fldCharType="separate"/>
          </w:r>
          <w:r>
            <w:rPr>
              <w:rFonts w:ascii="Times New Roman" w:hAnsi="Times New Roman" w:eastAsia="SimSun"/>
            </w:rPr>
            <w:t>5.2.2 可视化大屏的后端实现</w:t>
          </w:r>
          <w:r>
            <w:tab/>
          </w:r>
          <w:r>
            <w:fldChar w:fldCharType="begin"/>
          </w:r>
          <w:r>
            <w:instrText xml:space="preserve"> PAGEREF _Toc27889 \h </w:instrText>
          </w:r>
          <w:r>
            <w:fldChar w:fldCharType="separate"/>
          </w:r>
          <w:r>
            <w:t>35</w:t>
          </w:r>
          <w:r>
            <w:fldChar w:fldCharType="end"/>
          </w:r>
          <w:r>
            <w:rPr>
              <w:rFonts w:ascii="Times New Roman" w:hAnsi="Times New Roman" w:eastAsia="SimSun"/>
              <w:color w:val="auto"/>
            </w:rPr>
            <w:fldChar w:fldCharType="end"/>
          </w:r>
        </w:p>
        <w:p w14:paraId="3B850F19">
          <w:pPr>
            <w:pStyle w:val="30"/>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_Toc15436 </w:instrText>
          </w:r>
          <w:r>
            <w:rPr>
              <w:rFonts w:ascii="Times New Roman" w:hAnsi="Times New Roman" w:eastAsia="SimSun"/>
            </w:rPr>
            <w:fldChar w:fldCharType="separate"/>
          </w:r>
          <w:r>
            <w:rPr>
              <w:rFonts w:ascii="Times New Roman" w:hAnsi="Times New Roman" w:eastAsia="SimSun"/>
            </w:rPr>
            <w:t>5.3 可视化大屏展示</w:t>
          </w:r>
          <w:r>
            <w:tab/>
          </w:r>
          <w:r>
            <w:fldChar w:fldCharType="begin"/>
          </w:r>
          <w:r>
            <w:instrText xml:space="preserve"> PAGEREF _Toc15436 \h </w:instrText>
          </w:r>
          <w:r>
            <w:fldChar w:fldCharType="separate"/>
          </w:r>
          <w:r>
            <w:t>40</w:t>
          </w:r>
          <w:r>
            <w:fldChar w:fldCharType="end"/>
          </w:r>
          <w:r>
            <w:rPr>
              <w:rFonts w:ascii="Times New Roman" w:hAnsi="Times New Roman" w:eastAsia="SimSun"/>
              <w:color w:val="auto"/>
            </w:rPr>
            <w:fldChar w:fldCharType="end"/>
          </w:r>
        </w:p>
        <w:p w14:paraId="70F741E8">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_Toc595 </w:instrText>
          </w:r>
          <w:r>
            <w:rPr>
              <w:rFonts w:ascii="Times New Roman" w:hAnsi="Times New Roman" w:eastAsia="SimSun"/>
            </w:rPr>
            <w:fldChar w:fldCharType="separate"/>
          </w:r>
          <w:r>
            <w:rPr>
              <w:rFonts w:ascii="Times New Roman" w:hAnsi="Times New Roman" w:eastAsia="SimSun"/>
            </w:rPr>
            <w:t>5.3.1 数据仪表盘模块</w:t>
          </w:r>
          <w:r>
            <w:tab/>
          </w:r>
          <w:r>
            <w:fldChar w:fldCharType="begin"/>
          </w:r>
          <w:r>
            <w:instrText xml:space="preserve"> PAGEREF _Toc595 \h </w:instrText>
          </w:r>
          <w:r>
            <w:fldChar w:fldCharType="separate"/>
          </w:r>
          <w:r>
            <w:t>40</w:t>
          </w:r>
          <w:r>
            <w:fldChar w:fldCharType="end"/>
          </w:r>
          <w:r>
            <w:rPr>
              <w:rFonts w:ascii="Times New Roman" w:hAnsi="Times New Roman" w:eastAsia="SimSun"/>
              <w:color w:val="auto"/>
            </w:rPr>
            <w:fldChar w:fldCharType="end"/>
          </w:r>
        </w:p>
        <w:p w14:paraId="3C8B5E54">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_Toc14311 </w:instrText>
          </w:r>
          <w:r>
            <w:rPr>
              <w:rFonts w:ascii="Times New Roman" w:hAnsi="Times New Roman" w:eastAsia="SimSun"/>
            </w:rPr>
            <w:fldChar w:fldCharType="separate"/>
          </w:r>
          <w:r>
            <w:rPr>
              <w:rFonts w:ascii="Times New Roman" w:hAnsi="Times New Roman" w:eastAsia="SimSun"/>
            </w:rPr>
            <w:t>5.3.2 排放趋势分析模块</w:t>
          </w:r>
          <w:r>
            <w:tab/>
          </w:r>
          <w:r>
            <w:fldChar w:fldCharType="begin"/>
          </w:r>
          <w:r>
            <w:instrText xml:space="preserve"> PAGEREF _Toc14311 \h </w:instrText>
          </w:r>
          <w:r>
            <w:fldChar w:fldCharType="separate"/>
          </w:r>
          <w:r>
            <w:t>42</w:t>
          </w:r>
          <w:r>
            <w:fldChar w:fldCharType="end"/>
          </w:r>
          <w:r>
            <w:rPr>
              <w:rFonts w:ascii="Times New Roman" w:hAnsi="Times New Roman" w:eastAsia="SimSun"/>
              <w:color w:val="auto"/>
            </w:rPr>
            <w:fldChar w:fldCharType="end"/>
          </w:r>
        </w:p>
        <w:p w14:paraId="51610C6B">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_Toc21604 </w:instrText>
          </w:r>
          <w:r>
            <w:rPr>
              <w:rFonts w:ascii="Times New Roman" w:hAnsi="Times New Roman" w:eastAsia="SimSun"/>
            </w:rPr>
            <w:fldChar w:fldCharType="separate"/>
          </w:r>
          <w:r>
            <w:rPr>
              <w:rFonts w:ascii="Times New Roman" w:hAnsi="Times New Roman" w:eastAsia="SimSun"/>
            </w:rPr>
            <w:t>5.3.3 排放结构分析模块</w:t>
          </w:r>
          <w:r>
            <w:tab/>
          </w:r>
          <w:r>
            <w:fldChar w:fldCharType="begin"/>
          </w:r>
          <w:r>
            <w:instrText xml:space="preserve"> PAGEREF _Toc21604 \h </w:instrText>
          </w:r>
          <w:r>
            <w:fldChar w:fldCharType="separate"/>
          </w:r>
          <w:r>
            <w:t>44</w:t>
          </w:r>
          <w:r>
            <w:fldChar w:fldCharType="end"/>
          </w:r>
          <w:r>
            <w:rPr>
              <w:rFonts w:ascii="Times New Roman" w:hAnsi="Times New Roman" w:eastAsia="SimSun"/>
              <w:color w:val="auto"/>
            </w:rPr>
            <w:fldChar w:fldCharType="end"/>
          </w:r>
        </w:p>
        <w:p w14:paraId="420F6C25">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_Toc2735 </w:instrText>
          </w:r>
          <w:r>
            <w:rPr>
              <w:rFonts w:ascii="Times New Roman" w:hAnsi="Times New Roman" w:eastAsia="SimSun"/>
            </w:rPr>
            <w:fldChar w:fldCharType="separate"/>
          </w:r>
          <w:r>
            <w:rPr>
              <w:rFonts w:ascii="Times New Roman" w:hAnsi="Times New Roman" w:eastAsia="SimSun"/>
            </w:rPr>
            <w:t>5.3.4 影响因素分析模块</w:t>
          </w:r>
          <w:r>
            <w:tab/>
          </w:r>
          <w:r>
            <w:fldChar w:fldCharType="begin"/>
          </w:r>
          <w:r>
            <w:instrText xml:space="preserve"> PAGEREF _Toc2735 \h </w:instrText>
          </w:r>
          <w:r>
            <w:fldChar w:fldCharType="separate"/>
          </w:r>
          <w:r>
            <w:t>45</w:t>
          </w:r>
          <w:r>
            <w:fldChar w:fldCharType="end"/>
          </w:r>
          <w:r>
            <w:rPr>
              <w:rFonts w:ascii="Times New Roman" w:hAnsi="Times New Roman" w:eastAsia="SimSun"/>
              <w:color w:val="auto"/>
            </w:rPr>
            <w:fldChar w:fldCharType="end"/>
          </w:r>
        </w:p>
        <w:p w14:paraId="65823F89">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_Toc14904 </w:instrText>
          </w:r>
          <w:r>
            <w:rPr>
              <w:rFonts w:ascii="Times New Roman" w:hAnsi="Times New Roman" w:eastAsia="SimSun"/>
            </w:rPr>
            <w:fldChar w:fldCharType="separate"/>
          </w:r>
          <w:r>
            <w:rPr>
              <w:rFonts w:ascii="Times New Roman" w:hAnsi="Times New Roman" w:eastAsia="SimSun"/>
            </w:rPr>
            <w:t>5.3.5 智能预测模块</w:t>
          </w:r>
          <w:r>
            <w:tab/>
          </w:r>
          <w:r>
            <w:fldChar w:fldCharType="begin"/>
          </w:r>
          <w:r>
            <w:instrText xml:space="preserve"> PAGEREF _Toc14904 \h </w:instrText>
          </w:r>
          <w:r>
            <w:fldChar w:fldCharType="separate"/>
          </w:r>
          <w:r>
            <w:t>47</w:t>
          </w:r>
          <w:r>
            <w:fldChar w:fldCharType="end"/>
          </w:r>
          <w:r>
            <w:rPr>
              <w:rFonts w:ascii="Times New Roman" w:hAnsi="Times New Roman" w:eastAsia="SimSun"/>
              <w:color w:val="auto"/>
            </w:rPr>
            <w:fldChar w:fldCharType="end"/>
          </w:r>
        </w:p>
        <w:p w14:paraId="561E4CBA">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_Toc4940 </w:instrText>
          </w:r>
          <w:r>
            <w:rPr>
              <w:rFonts w:ascii="Times New Roman" w:hAnsi="Times New Roman" w:eastAsia="SimSun"/>
            </w:rPr>
            <w:fldChar w:fldCharType="separate"/>
          </w:r>
          <w:r>
            <w:rPr>
              <w:rFonts w:ascii="Times New Roman" w:hAnsi="Times New Roman" w:eastAsia="SimSun"/>
            </w:rPr>
            <w:t>5.3.6 预警中心模块</w:t>
          </w:r>
          <w:r>
            <w:tab/>
          </w:r>
          <w:r>
            <w:fldChar w:fldCharType="begin"/>
          </w:r>
          <w:r>
            <w:instrText xml:space="preserve"> PAGEREF _Toc4940 \h </w:instrText>
          </w:r>
          <w:r>
            <w:fldChar w:fldCharType="separate"/>
          </w:r>
          <w:r>
            <w:t>49</w:t>
          </w:r>
          <w:r>
            <w:fldChar w:fldCharType="end"/>
          </w:r>
          <w:r>
            <w:rPr>
              <w:rFonts w:ascii="Times New Roman" w:hAnsi="Times New Roman" w:eastAsia="SimSun"/>
              <w:color w:val="auto"/>
            </w:rPr>
            <w:fldChar w:fldCharType="end"/>
          </w:r>
        </w:p>
        <w:p w14:paraId="417D0ADD">
          <w:pPr>
            <w:pStyle w:val="24"/>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_Toc29748 </w:instrText>
          </w:r>
          <w:r>
            <w:rPr>
              <w:rFonts w:ascii="Times New Roman" w:hAnsi="Times New Roman" w:eastAsia="SimSun"/>
            </w:rPr>
            <w:fldChar w:fldCharType="separate"/>
          </w:r>
          <w:r>
            <w:rPr>
              <w:rFonts w:ascii="Times New Roman" w:hAnsi="Times New Roman" w:eastAsia="SimSun"/>
            </w:rPr>
            <w:t>5.3.7 管理后台模块</w:t>
          </w:r>
          <w:r>
            <w:tab/>
          </w:r>
          <w:r>
            <w:fldChar w:fldCharType="begin"/>
          </w:r>
          <w:r>
            <w:instrText xml:space="preserve"> PAGEREF _Toc29748 \h </w:instrText>
          </w:r>
          <w:r>
            <w:fldChar w:fldCharType="separate"/>
          </w:r>
          <w:r>
            <w:t>51</w:t>
          </w:r>
          <w:r>
            <w:fldChar w:fldCharType="end"/>
          </w:r>
          <w:r>
            <w:rPr>
              <w:rFonts w:ascii="Times New Roman" w:hAnsi="Times New Roman" w:eastAsia="SimSun"/>
              <w:color w:val="auto"/>
            </w:rPr>
            <w:fldChar w:fldCharType="end"/>
          </w:r>
        </w:p>
        <w:p w14:paraId="1F51A74D">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_Toc25475 </w:instrText>
          </w:r>
          <w:r>
            <w:rPr>
              <w:rFonts w:ascii="Times New Roman" w:hAnsi="Times New Roman" w:eastAsia="SimSun"/>
            </w:rPr>
            <w:fldChar w:fldCharType="separate"/>
          </w:r>
          <w:r>
            <w:rPr>
              <w:rFonts w:ascii="Times New Roman" w:hAnsi="Times New Roman" w:eastAsia="SimHei"/>
            </w:rPr>
            <w:t>第6章  结  论</w:t>
          </w:r>
          <w:r>
            <w:tab/>
          </w:r>
          <w:r>
            <w:fldChar w:fldCharType="begin"/>
          </w:r>
          <w:r>
            <w:instrText xml:space="preserve"> PAGEREF _Toc25475 \h </w:instrText>
          </w:r>
          <w:r>
            <w:fldChar w:fldCharType="separate"/>
          </w:r>
          <w:r>
            <w:t>52</w:t>
          </w:r>
          <w:r>
            <w:fldChar w:fldCharType="end"/>
          </w:r>
          <w:r>
            <w:rPr>
              <w:rFonts w:ascii="Times New Roman" w:hAnsi="Times New Roman" w:eastAsia="SimSun"/>
              <w:color w:val="auto"/>
            </w:rPr>
            <w:fldChar w:fldCharType="end"/>
          </w:r>
        </w:p>
        <w:p w14:paraId="5C5081E3">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_Toc7216 </w:instrText>
          </w:r>
          <w:r>
            <w:rPr>
              <w:rFonts w:ascii="Times New Roman" w:hAnsi="Times New Roman" w:eastAsia="SimSun"/>
            </w:rPr>
            <w:fldChar w:fldCharType="separate"/>
          </w:r>
          <w:r>
            <w:rPr>
              <w:rFonts w:ascii="Times New Roman" w:hAnsi="Times New Roman" w:eastAsia="SimHei"/>
            </w:rPr>
            <w:t>参考文献</w:t>
          </w:r>
          <w:r>
            <w:tab/>
          </w:r>
          <w:r>
            <w:fldChar w:fldCharType="begin"/>
          </w:r>
          <w:r>
            <w:instrText xml:space="preserve"> PAGEREF _Toc7216 \h </w:instrText>
          </w:r>
          <w:r>
            <w:fldChar w:fldCharType="separate"/>
          </w:r>
          <w:r>
            <w:t>53</w:t>
          </w:r>
          <w:r>
            <w:fldChar w:fldCharType="end"/>
          </w:r>
          <w:r>
            <w:rPr>
              <w:rFonts w:ascii="Times New Roman" w:hAnsi="Times New Roman" w:eastAsia="SimSun"/>
              <w:color w:val="auto"/>
            </w:rPr>
            <w:fldChar w:fldCharType="end"/>
          </w:r>
        </w:p>
        <w:p w14:paraId="1D001ADC">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_Toc26701 </w:instrText>
          </w:r>
          <w:r>
            <w:rPr>
              <w:rFonts w:ascii="Times New Roman" w:hAnsi="Times New Roman" w:eastAsia="SimSun"/>
            </w:rPr>
            <w:fldChar w:fldCharType="separate"/>
          </w:r>
          <w:r>
            <w:rPr>
              <w:rFonts w:ascii="Times New Roman" w:hAnsi="Times New Roman" w:eastAsia="SimHei"/>
            </w:rPr>
            <w:t>致  谢</w:t>
          </w:r>
          <w:r>
            <w:tab/>
          </w:r>
          <w:r>
            <w:fldChar w:fldCharType="begin"/>
          </w:r>
          <w:r>
            <w:instrText xml:space="preserve"> PAGEREF _Toc26701 \h </w:instrText>
          </w:r>
          <w:r>
            <w:fldChar w:fldCharType="separate"/>
          </w:r>
          <w:r>
            <w:t>55</w:t>
          </w:r>
          <w:r>
            <w:fldChar w:fldCharType="end"/>
          </w:r>
          <w:r>
            <w:rPr>
              <w:rFonts w:ascii="Times New Roman" w:hAnsi="Times New Roman" w:eastAsia="SimSun"/>
              <w:color w:val="auto"/>
            </w:rPr>
            <w:fldChar w:fldCharType="end"/>
          </w:r>
        </w:p>
        <w:p w14:paraId="6CC7D257">
          <w:pPr>
            <w:pStyle w:val="27"/>
            <w:tabs>
              <w:tab w:val="right" w:leader="dot" w:pos="8505"/>
            </w:tabs>
          </w:pPr>
          <w:r>
            <w:rPr>
              <w:rFonts w:ascii="Times New Roman" w:hAnsi="Times New Roman" w:eastAsia="SimSun"/>
              <w:color w:val="auto"/>
            </w:rPr>
            <w:fldChar w:fldCharType="begin"/>
          </w:r>
          <w:r>
            <w:rPr>
              <w:rFonts w:ascii="Times New Roman" w:hAnsi="Times New Roman" w:eastAsia="SimSun"/>
            </w:rPr>
            <w:instrText xml:space="preserve"> HYPERLINK \l _Toc17342 </w:instrText>
          </w:r>
          <w:r>
            <w:rPr>
              <w:rFonts w:ascii="Times New Roman" w:hAnsi="Times New Roman" w:eastAsia="SimSun"/>
            </w:rPr>
            <w:fldChar w:fldCharType="separate"/>
          </w:r>
          <w:r>
            <w:rPr>
              <w:rFonts w:ascii="Times New Roman" w:hAnsi="Times New Roman" w:eastAsia="SimHei"/>
            </w:rPr>
            <w:t>附  录</w:t>
          </w:r>
          <w:r>
            <w:tab/>
          </w:r>
          <w:r>
            <w:fldChar w:fldCharType="begin"/>
          </w:r>
          <w:r>
            <w:instrText xml:space="preserve"> PAGEREF _Toc17342 \h </w:instrText>
          </w:r>
          <w:r>
            <w:fldChar w:fldCharType="separate"/>
          </w:r>
          <w:r>
            <w:t>56</w:t>
          </w:r>
          <w:r>
            <w:fldChar w:fldCharType="end"/>
          </w:r>
          <w:r>
            <w:rPr>
              <w:rFonts w:ascii="Times New Roman" w:hAnsi="Times New Roman" w:eastAsia="SimSun"/>
              <w:color w:val="auto"/>
            </w:rPr>
            <w:fldChar w:fldCharType="end"/>
          </w:r>
        </w:p>
        <w:p w14:paraId="3FFA9858">
          <w:pPr>
            <w:spacing w:line="400" w:lineRule="exact"/>
            <w:ind w:firstLine="480" w:firstLineChars="200"/>
            <w:jc w:val="both"/>
            <w:rPr>
              <w:rFonts w:ascii="Times New Roman" w:hAnsi="Times New Roman" w:eastAsia="SimSun" w:cstheme="minorBidi"/>
              <w:color w:val="auto"/>
              <w:sz w:val="24"/>
              <w:szCs w:val="22"/>
              <w:lang w:val="en-US" w:eastAsia="en-US" w:bidi="ar-SA"/>
            </w:rPr>
          </w:pPr>
          <w:r>
            <w:rPr>
              <w:rFonts w:ascii="Times New Roman" w:hAnsi="Times New Roman" w:eastAsia="SimSun"/>
              <w:color w:val="auto"/>
            </w:rPr>
            <w:fldChar w:fldCharType="end"/>
          </w:r>
        </w:p>
      </w:sdtContent>
    </w:sdt>
    <w:p w14:paraId="2262D431">
      <w:pPr>
        <w:spacing w:line="400" w:lineRule="exact"/>
        <w:ind w:firstLine="480" w:firstLineChars="200"/>
        <w:jc w:val="both"/>
        <w:rPr>
          <w:rFonts w:ascii="Times New Roman" w:hAnsi="Times New Roman" w:eastAsia="SimSun" w:cstheme="minorBidi"/>
          <w:color w:val="auto"/>
          <w:sz w:val="24"/>
          <w:szCs w:val="22"/>
          <w:lang w:val="en-US" w:eastAsia="en-US" w:bidi="ar-SA"/>
        </w:rPr>
      </w:pPr>
    </w:p>
    <w:p w14:paraId="62565039">
      <w:pPr>
        <w:pStyle w:val="3"/>
        <w:keepNext/>
        <w:keepLines/>
        <w:pageBreakBefore/>
        <w:spacing w:before="312" w:beforeLines="100" w:after="312" w:afterLines="100" w:line="400" w:lineRule="exact"/>
        <w:ind w:firstLine="0" w:firstLineChars="0"/>
        <w:jc w:val="center"/>
        <w:rPr>
          <w:color w:val="auto"/>
        </w:rPr>
      </w:pPr>
      <w:bookmarkStart w:id="5" w:name="_Toc26129"/>
      <w:r>
        <w:rPr>
          <w:rFonts w:ascii="Times New Roman" w:hAnsi="Times New Roman" w:eastAsia="SimHei"/>
          <w:b w:val="0"/>
          <w:color w:val="auto"/>
          <w:sz w:val="32"/>
        </w:rPr>
        <w:t>第1章  绪  论</w:t>
      </w:r>
      <w:bookmarkEnd w:id="5"/>
    </w:p>
    <w:p w14:paraId="78325FF4">
      <w:pPr>
        <w:pStyle w:val="4"/>
        <w:keepNext/>
        <w:keepLines/>
        <w:spacing w:before="312" w:beforeLines="100" w:after="312" w:afterLines="100" w:line="400" w:lineRule="exact"/>
        <w:ind w:firstLine="0" w:firstLineChars="0"/>
        <w:jc w:val="left"/>
        <w:rPr>
          <w:color w:val="auto"/>
        </w:rPr>
      </w:pPr>
      <w:bookmarkStart w:id="6" w:name="_Toc21834"/>
      <w:r>
        <w:rPr>
          <w:rFonts w:ascii="Times New Roman" w:hAnsi="Times New Roman" w:eastAsia="SimSun"/>
          <w:b/>
          <w:color w:val="auto"/>
          <w:sz w:val="28"/>
        </w:rPr>
        <w:t>1.1 论文研究的背景和意义</w:t>
      </w:r>
      <w:bookmarkEnd w:id="6"/>
    </w:p>
    <w:p w14:paraId="23981155">
      <w:pPr>
        <w:spacing w:line="400" w:lineRule="exact"/>
        <w:ind w:firstLine="480" w:firstLineChars="200"/>
        <w:jc w:val="both"/>
        <w:rPr>
          <w:color w:val="auto"/>
        </w:rPr>
      </w:pPr>
      <w:r>
        <w:rPr>
          <w:rFonts w:ascii="Times New Roman" w:hAnsi="Times New Roman" w:eastAsia="SimSun"/>
          <w:b w:val="0"/>
          <w:color w:val="auto"/>
          <w:sz w:val="24"/>
        </w:rPr>
        <w:t>全球气候变化是当今人类社会面临的最为严峻的环境挑战之一。根据联合国政府间气候变化专门委员会（IPCC）发布的第六次评估报告，全球平均气温已较工业化前水平上升约1.1℃，极端天气事件频发、海平面持续上升、生态系统遭受严重破坏。碳排放作为温室气体排放的核心组成部分，其有效监测、精确分析与科学预测是实现气候治理目标的基础性工作。中国作为全球碳排放总量最大的国家，2020年在联合国大会上正式提出力争2030年前实现碳达峰、2060年前实现碳中和的"双碳"战略目标，标志着中国应对气候变化进入全面加速推进的新阶段。</w:t>
      </w:r>
    </w:p>
    <w:p w14:paraId="70F87620">
      <w:pPr>
        <w:spacing w:line="400" w:lineRule="exact"/>
        <w:ind w:firstLine="480" w:firstLineChars="200"/>
        <w:jc w:val="both"/>
        <w:rPr>
          <w:color w:val="auto"/>
        </w:rPr>
      </w:pPr>
      <w:r>
        <w:rPr>
          <w:rFonts w:ascii="Times New Roman" w:hAnsi="Times New Roman" w:eastAsia="SimSun"/>
          <w:b w:val="0"/>
          <w:color w:val="auto"/>
          <w:sz w:val="24"/>
        </w:rPr>
        <w:t>在"双碳"目标的驱动下，各级政府、行业组织和科研机构对碳排放数据的管理需求急剧增长。传统的碳排放管理模式主要依赖人工采集报送、电子表格汇总和静态报表分析，存在数据采集不及时、分析维度单一、难以进行动态预测和趋势判断等突出问题。同时，碳排放数据具有来源多元、维度丰富、时间跨度大等特点，人工方式难以充分挖掘数据中蕴含的规律和趋势。因此，构建一套集数据采集、清洗存储、多维分析、智能预测和预警管理于一体的信息化平台，对于提升碳排放管理的信息化水平和科学决策能力具有重要的现实意义。</w:t>
      </w:r>
    </w:p>
    <w:p w14:paraId="76E8999D">
      <w:pPr>
        <w:spacing w:line="400" w:lineRule="exact"/>
        <w:ind w:firstLine="480" w:firstLineChars="200"/>
        <w:jc w:val="both"/>
        <w:rPr>
          <w:color w:val="auto"/>
        </w:rPr>
      </w:pPr>
      <w:r>
        <w:rPr>
          <w:rFonts w:ascii="Times New Roman" w:hAnsi="Times New Roman" w:eastAsia="SimSun"/>
          <w:b w:val="0"/>
          <w:color w:val="auto"/>
          <w:sz w:val="24"/>
        </w:rPr>
        <w:t>与此同时，全国碳排放权交易市场于2021年7月正式上线运行，首批纳入发电行业2162家重点排放单位，覆盖约45亿吨二氧化碳排放量，成为全球规模最大的碳交易市场。碳交易市场的建立对碳排放数据的准确性、时效性和可追溯性提出了更高要求，传统的静态管理方式已无法满足碳市场交易核查、配额清缴和履约监管等环节对数据质量的严格标准。此外，随着"碳足迹""碳标签"等概念在消费端的逐步推广，公众对碳排放信息的知情权和参与度不断提升，亟需建设面向多元用户群体的碳排放信息公开和可视化展示平台。</w:t>
      </w:r>
    </w:p>
    <w:p w14:paraId="224A0100">
      <w:pPr>
        <w:spacing w:line="400" w:lineRule="exact"/>
        <w:ind w:firstLine="480" w:firstLineChars="200"/>
        <w:jc w:val="both"/>
        <w:rPr>
          <w:color w:val="auto"/>
        </w:rPr>
      </w:pPr>
      <w:r>
        <w:rPr>
          <w:rFonts w:ascii="Times New Roman" w:hAnsi="Times New Roman" w:eastAsia="SimSun"/>
          <w:b w:val="0"/>
          <w:color w:val="auto"/>
          <w:sz w:val="24"/>
        </w:rPr>
        <w:t>本论文研究的碳排放分析及预测可视化平台，旨在利用Web开发技术和数据分析方法，为碳排放数据的全生命周期管理提供技术支撑。平台通过多维度的数据可视化展示帮助用户直观理解碳排放现状与变化趋势，通过集成机器学习预测模型实现碳排放量的智能预测，通过阈值预警机制实现碳排放异常的实时监测与告警。该研究成果不仅可为碳排放管理部门和科研人员提供实用的分析工具，还可为相关领域的信息系统建设提供借鉴和参考。从工程实践角度来看，本平台的开发过程也为Django框架在环境数据分析领域的应用积累了宝贵的技术经验，为后续开发更加复杂的碳排放管理系统提供了可复用的技术组件和架构参考。</w:t>
      </w:r>
    </w:p>
    <w:p w14:paraId="15E5AE16">
      <w:pPr>
        <w:pStyle w:val="4"/>
        <w:keepNext/>
        <w:keepLines/>
        <w:spacing w:before="312" w:beforeLines="100" w:after="312" w:afterLines="100" w:line="400" w:lineRule="exact"/>
        <w:ind w:firstLine="0" w:firstLineChars="0"/>
        <w:jc w:val="left"/>
        <w:rPr>
          <w:color w:val="auto"/>
        </w:rPr>
      </w:pPr>
      <w:bookmarkStart w:id="7" w:name="_Toc15416"/>
      <w:r>
        <w:rPr>
          <w:rFonts w:ascii="Times New Roman" w:hAnsi="Times New Roman" w:eastAsia="SimSun"/>
          <w:b/>
          <w:color w:val="auto"/>
          <w:sz w:val="28"/>
        </w:rPr>
        <w:t>1.2 国内外现状</w:t>
      </w:r>
      <w:bookmarkEnd w:id="7"/>
    </w:p>
    <w:p w14:paraId="277B4137">
      <w:pPr>
        <w:pStyle w:val="5"/>
        <w:keepNext/>
        <w:keepLines/>
        <w:spacing w:before="156" w:beforeLines="50" w:after="156" w:afterLines="50" w:line="400" w:lineRule="exact"/>
        <w:ind w:firstLine="0" w:firstLineChars="0"/>
        <w:jc w:val="left"/>
        <w:rPr>
          <w:color w:val="auto"/>
        </w:rPr>
      </w:pPr>
      <w:bookmarkStart w:id="8" w:name="_Toc1488"/>
      <w:r>
        <w:rPr>
          <w:rFonts w:ascii="Times New Roman" w:hAnsi="Times New Roman" w:eastAsia="SimSun"/>
          <w:b/>
          <w:color w:val="auto"/>
          <w:sz w:val="24"/>
        </w:rPr>
        <w:t>1.2.1 国外研究现状</w:t>
      </w:r>
      <w:bookmarkEnd w:id="8"/>
    </w:p>
    <w:p w14:paraId="7A929471">
      <w:pPr>
        <w:spacing w:line="400" w:lineRule="exact"/>
        <w:ind w:firstLine="480" w:firstLineChars="200"/>
        <w:jc w:val="both"/>
        <w:rPr>
          <w:color w:val="auto"/>
        </w:rPr>
      </w:pPr>
      <w:r>
        <w:rPr>
          <w:rFonts w:ascii="Times New Roman" w:hAnsi="Times New Roman" w:eastAsia="SimSun"/>
          <w:b w:val="0"/>
          <w:color w:val="auto"/>
          <w:sz w:val="24"/>
        </w:rPr>
        <w:t>在碳排放监测与分析领域，国际社会已开展了大量的研究与实践工作。美国环境保护署（EPA）建立了温室气体排放数据公开平台（GHGRP），该平台采集覆盖全美8000余家大型排放设施的年度温室气体排放数据，提供基于Web的多维度数据查询和可视化分析功能，已成为美国碳排放监管的核心数据基础设施。欧盟建立了欧盟排放交易体系（EU ETS），配套开发了电子化的监测、报告和核查（MRV）系统，实现了碳排放数据从采集、审核到交易的全流程数字化管理。在学术研究方面，Raupach等学者基于全球碳项目（Global Carbon Project）数据，利用LMDI分解分析方法对全球碳排放的驱动因素进行了系统研究，为碳排放影响因素分析提供了重要的方法论参考。</w:t>
      </w:r>
    </w:p>
    <w:p w14:paraId="6FD0833D">
      <w:pPr>
        <w:spacing w:line="400" w:lineRule="exact"/>
        <w:ind w:firstLine="480" w:firstLineChars="200"/>
        <w:jc w:val="both"/>
        <w:rPr>
          <w:color w:val="auto"/>
        </w:rPr>
      </w:pPr>
      <w:r>
        <w:rPr>
          <w:rFonts w:ascii="Times New Roman" w:hAnsi="Times New Roman" w:eastAsia="SimSun"/>
          <w:b w:val="0"/>
          <w:color w:val="auto"/>
          <w:sz w:val="24"/>
        </w:rPr>
        <w:t>在数据可视化技术应用方面，国际能源署（IEA）开发了全球碳排放数据可视化平台，该平台充分利用D3.js和Mapbox等前端可视化技术，提供了交互式的全球碳排放地图、趋势图和结构分析图表，用户可通过时间轴滑块和区域筛选器动态探索碳排放数据，为碳排放数据的可视化展示树立了行业标杆。</w:t>
      </w:r>
    </w:p>
    <w:p w14:paraId="59DD8E4A">
      <w:pPr>
        <w:spacing w:line="400" w:lineRule="exact"/>
        <w:ind w:firstLine="480" w:firstLineChars="200"/>
        <w:jc w:val="both"/>
        <w:rPr>
          <w:color w:val="auto"/>
        </w:rPr>
      </w:pPr>
      <w:r>
        <w:rPr>
          <w:rFonts w:ascii="Times New Roman" w:hAnsi="Times New Roman" w:eastAsia="SimSun"/>
          <w:b w:val="0"/>
          <w:color w:val="auto"/>
          <w:sz w:val="24"/>
        </w:rPr>
        <w:t>在碳排放预测技术方面，近年来深度学习方法得到了广泛的应用与发展。Acheampong和Boateng利用长短期记忆网络（LSTM）模型对加纳的碳排放趋势进行了预测，结果表明LSTM在捕捉排放时间序列的长期依赖关系方面具有显著优势，预测精度显著优于传统的ARIMA模型。Liu等学者提出了一种CNN-LSTM混合预测模型，利用卷积神经网络提取碳排放数据的空间特征，再通过LSTM网络学习时间序列规律，在中国省级碳排放预测中取得了较好的效果，R²指标达到0.92以上。此外，Google Research团队将Transformer架构引入时间序列预测领域，开发了Temporal Fusion Transformers模型，在包括碳排放在内的多个时间序列预测任务上展现了优异的性能。在集成学习方面，Galelli等研究者采用XGBoost和Random Forest等集成模型对碳排放进行预测，通过特征工程引入气象数据、宏观经济指标和能源结构等多维度特征，有效提升了预测模型的泛化能力和鲁棒性。</w:t>
      </w:r>
    </w:p>
    <w:p w14:paraId="0F71BA5B">
      <w:pPr>
        <w:pStyle w:val="5"/>
        <w:keepNext/>
        <w:keepLines/>
        <w:spacing w:before="156" w:beforeLines="50" w:after="156" w:afterLines="50" w:line="400" w:lineRule="exact"/>
        <w:ind w:firstLine="0" w:firstLineChars="0"/>
        <w:jc w:val="left"/>
        <w:rPr>
          <w:color w:val="auto"/>
        </w:rPr>
      </w:pPr>
      <w:bookmarkStart w:id="9" w:name="_Toc6476"/>
      <w:r>
        <w:rPr>
          <w:rFonts w:ascii="Times New Roman" w:hAnsi="Times New Roman" w:eastAsia="SimSun"/>
          <w:b/>
          <w:color w:val="auto"/>
          <w:sz w:val="24"/>
        </w:rPr>
        <w:t>1.2.2 国内研究现状</w:t>
      </w:r>
      <w:bookmarkEnd w:id="9"/>
    </w:p>
    <w:p w14:paraId="3C996D7F">
      <w:pPr>
        <w:spacing w:line="400" w:lineRule="exact"/>
        <w:ind w:firstLine="480" w:firstLineChars="200"/>
        <w:jc w:val="both"/>
        <w:rPr>
          <w:color w:val="auto"/>
        </w:rPr>
      </w:pPr>
      <w:r>
        <w:rPr>
          <w:rFonts w:ascii="Times New Roman" w:hAnsi="Times New Roman" w:eastAsia="SimSun"/>
          <w:b w:val="0"/>
          <w:color w:val="auto"/>
          <w:sz w:val="24"/>
        </w:rPr>
        <w:t>国内在碳排放信息化管理方面的研究起步较晚但发展迅速。中国碳排放数据库（CEADs）由清华大学与国际研究团队联合建设，提供了覆盖全国及各省市的碳排放核算数据，数据时间跨度从1997年延续至今，已成为国内碳排放研究的权威数据来源。在碳排放管理系统方面，周伟等开发了基于Spring Boot的碳排放管理信息系统，实现了企业碳排放数据的录入、统计和报告功能，但该系统缺乏先进的数据分析和预测能力。张明等基于Flask框架设计了面向工业企业的碳排放监测平台，采用Random Forest算法进行排放量预测，但在预测精度和可视化效果方面仍有提升空间。在碳排放预测方面，王华等提出了基于LSTM-Attention的碳排放预测方法，在全国碳排放年度预测中取得了较高的精度，MAE指标相较于传统方法降低了18.6%。在碳排放可视化方面，北京大学团队开发了中国碳排放地图可视化系统，利用WebGIS技术实现了碳排放数据在地理空间上的直观展示，支持省级、市级和县级多尺度的碳排放空间分析。中科院大气物理研究所基于卫星遥感反演数据开发了碳卫星数据可视化平台，利用三维地球模型和热力图技术展示全球碳浓度的时空分布变化，为碳排放的空间监测提供了新的技术手段。</w:t>
      </w:r>
    </w:p>
    <w:p w14:paraId="23621325">
      <w:pPr>
        <w:spacing w:line="400" w:lineRule="exact"/>
        <w:ind w:firstLine="480" w:firstLineChars="200"/>
        <w:jc w:val="both"/>
        <w:rPr>
          <w:color w:val="auto"/>
        </w:rPr>
      </w:pPr>
      <w:r>
        <w:rPr>
          <w:rFonts w:ascii="Times New Roman" w:hAnsi="Times New Roman" w:eastAsia="SimSun"/>
          <w:b w:val="0"/>
          <w:color w:val="auto"/>
          <w:sz w:val="24"/>
        </w:rPr>
        <w:t>综合国内外研究现状可以看出，碳排放分析与预测领域已形成了较为丰富的理论基础和技术积累。然而，现有的同类系统大多侧重于数据管理或单一的预测功能，缺乏将数据采集、清洗处理、多维可视化分析、多模型智能预测和实时预警等功能进行深度整合的综合性平台。同时，部分系统采用的技术架构较为陈旧，在系统响应速度、用户交互体验和扩展灵活性等方面存在不足。因此，本论文基于Django框架设计并实现了一套功能完善、技术先进、用户体验良好的碳排放分析及预测可视化平台，以弥补现有系统的不足。</w:t>
      </w:r>
    </w:p>
    <w:p w14:paraId="6D86AA5A">
      <w:pPr>
        <w:pStyle w:val="4"/>
        <w:keepNext/>
        <w:keepLines/>
        <w:spacing w:before="312" w:beforeLines="100" w:after="312" w:afterLines="100" w:line="400" w:lineRule="exact"/>
        <w:ind w:firstLine="0" w:firstLineChars="0"/>
        <w:jc w:val="left"/>
        <w:rPr>
          <w:color w:val="auto"/>
        </w:rPr>
      </w:pPr>
      <w:bookmarkStart w:id="10" w:name="_Toc3006"/>
      <w:r>
        <w:rPr>
          <w:rFonts w:ascii="Times New Roman" w:hAnsi="Times New Roman" w:eastAsia="SimSun"/>
          <w:b/>
          <w:color w:val="auto"/>
          <w:sz w:val="28"/>
        </w:rPr>
        <w:t>1.3 论文研究的主要内容</w:t>
      </w:r>
      <w:bookmarkEnd w:id="10"/>
    </w:p>
    <w:p w14:paraId="47BE7B58">
      <w:pPr>
        <w:spacing w:line="400" w:lineRule="exact"/>
        <w:ind w:firstLine="480" w:firstLineChars="200"/>
        <w:jc w:val="both"/>
        <w:rPr>
          <w:color w:val="auto"/>
        </w:rPr>
      </w:pPr>
      <w:r>
        <w:rPr>
          <w:rFonts w:ascii="Times New Roman" w:hAnsi="Times New Roman" w:eastAsia="SimSun"/>
          <w:b w:val="0"/>
          <w:color w:val="auto"/>
          <w:sz w:val="24"/>
        </w:rPr>
        <w:t>本论文围绕碳排放分析及预测可视化平台的设计与实现展开研究，主要内容包括以下几个方面：</w:t>
      </w:r>
    </w:p>
    <w:p w14:paraId="55C86CF6">
      <w:pPr>
        <w:spacing w:line="400" w:lineRule="exact"/>
        <w:ind w:firstLine="480" w:firstLineChars="200"/>
        <w:jc w:val="both"/>
        <w:rPr>
          <w:color w:val="auto"/>
        </w:rPr>
      </w:pPr>
      <w:r>
        <w:rPr>
          <w:rFonts w:ascii="Times New Roman" w:hAnsi="Times New Roman" w:eastAsia="SimSun"/>
          <w:b w:val="0"/>
          <w:color w:val="auto"/>
          <w:sz w:val="24"/>
        </w:rPr>
        <w:t>第1章为绪论，介绍了论文的研究背景和意义，阐述了全球气候变化和"双碳"国家战略对碳排放信息化管理提出的迫切需求，系统梳理了国内外在碳排放监测分析、预测技术及信息化管理系统方面的研究现状与发展趋势，总结了现有系统的优势与不足，明确了本论文的研究目标和主要研究内容。</w:t>
      </w:r>
    </w:p>
    <w:p w14:paraId="1053CE41">
      <w:pPr>
        <w:spacing w:line="400" w:lineRule="exact"/>
        <w:ind w:firstLine="480" w:firstLineChars="200"/>
        <w:jc w:val="both"/>
        <w:rPr>
          <w:color w:val="auto"/>
        </w:rPr>
      </w:pPr>
      <w:r>
        <w:rPr>
          <w:rFonts w:ascii="Times New Roman" w:hAnsi="Times New Roman" w:eastAsia="SimSun"/>
          <w:b w:val="0"/>
          <w:color w:val="auto"/>
          <w:sz w:val="24"/>
        </w:rPr>
        <w:t>第2章为课题概述及关键技术介绍。首先对碳排放分析及预测平台的课题进行整体概述，明确系统的功能范围、技术路线和架构设计原则；然后对系统开发涉及的关键技术进行详细介绍，包括Django Web框架的MTV架构模式和核心组件、ECharts数据可视化库的图表类型和交互特性、CNN-LSTM混合预测模型的网络结构和工作原理、以及Bootstrap前端框架和SQLite数据库的技术特点。</w:t>
      </w:r>
    </w:p>
    <w:p w14:paraId="391411AE">
      <w:pPr>
        <w:spacing w:line="400" w:lineRule="exact"/>
        <w:ind w:firstLine="480" w:firstLineChars="200"/>
        <w:jc w:val="both"/>
        <w:rPr>
          <w:color w:val="auto"/>
        </w:rPr>
      </w:pPr>
      <w:r>
        <w:rPr>
          <w:rFonts w:ascii="Times New Roman" w:hAnsi="Times New Roman" w:eastAsia="SimSun"/>
          <w:b w:val="0"/>
          <w:color w:val="auto"/>
          <w:sz w:val="24"/>
        </w:rPr>
        <w:t>第3章为数据处理与存储。详细介绍了系统所使用的碳排放数据来源与数据说明，阐述了多源数据的采集和整合方法，详细描述了数据清洗的方法与流程（包括缺失值检测与分组填充、基于3σ准则的异常值检测与修正、以及基于主键约束的重复数据去除），并全面介绍了数据库表结构的设计方案、数据表之间的关联关系和索引优化策略。</w:t>
      </w:r>
    </w:p>
    <w:p w14:paraId="5D08F911">
      <w:pPr>
        <w:spacing w:line="400" w:lineRule="exact"/>
        <w:ind w:firstLine="480" w:firstLineChars="200"/>
        <w:jc w:val="both"/>
        <w:rPr>
          <w:color w:val="auto"/>
        </w:rPr>
      </w:pPr>
      <w:r>
        <w:rPr>
          <w:rFonts w:ascii="Times New Roman" w:hAnsi="Times New Roman" w:eastAsia="SimSun"/>
          <w:b w:val="0"/>
          <w:color w:val="auto"/>
          <w:sz w:val="24"/>
        </w:rPr>
        <w:t>第4章为可视化分析。从年度排放趋势、排放源结构、地区排放分布、季度排放对比、行业排放结构和碳排放影响因素等6个维度，结合ECharts交互式图表对碳排放数据进行深入的可视化分析与解读，挖掘碳排放数据中蕴含的规律性特征和驱动因素。</w:t>
      </w:r>
    </w:p>
    <w:p w14:paraId="253BF945">
      <w:pPr>
        <w:spacing w:line="400" w:lineRule="exact"/>
        <w:ind w:firstLine="480" w:firstLineChars="200"/>
        <w:jc w:val="both"/>
        <w:rPr>
          <w:color w:val="auto"/>
        </w:rPr>
      </w:pPr>
      <w:r>
        <w:rPr>
          <w:rFonts w:ascii="Times New Roman" w:hAnsi="Times New Roman" w:eastAsia="SimSun"/>
          <w:b w:val="0"/>
          <w:color w:val="auto"/>
          <w:sz w:val="24"/>
        </w:rPr>
        <w:t>第5章为可视化大屏的设计与实现。详细介绍了平台可视化大屏界面的设计方案和视觉规范、前端响应式布局和ECharts图表异步加载的实现方法、后端数据分析API和智能预测引擎的实现逻辑，以及数据仪表盘、排放趋势、排放结构、影响因素、智能预测、预警中心和管理后台等各功能模块的展示效果和关键代码实现。</w:t>
      </w:r>
    </w:p>
    <w:p w14:paraId="2B5F36D9">
      <w:pPr>
        <w:spacing w:line="400" w:lineRule="exact"/>
        <w:ind w:firstLine="480" w:firstLineChars="200"/>
        <w:jc w:val="both"/>
        <w:rPr>
          <w:color w:val="auto"/>
        </w:rPr>
      </w:pPr>
      <w:r>
        <w:rPr>
          <w:rFonts w:ascii="Times New Roman" w:hAnsi="Times New Roman" w:eastAsia="SimSun"/>
          <w:b w:val="0"/>
          <w:color w:val="auto"/>
          <w:sz w:val="24"/>
        </w:rPr>
        <w:t>第6章为结论，对全文的研究工作进行全面总结，概括系统在技术实现方面取得的成果，客观指出系统存在的不足之处并提出具体的改进方向和后续研究展望。</w:t>
      </w:r>
    </w:p>
    <w:p w14:paraId="747F8212">
      <w:pPr>
        <w:pStyle w:val="3"/>
        <w:keepNext/>
        <w:keepLines/>
        <w:pageBreakBefore/>
        <w:spacing w:before="312" w:beforeLines="100" w:after="312" w:afterLines="100" w:line="400" w:lineRule="exact"/>
        <w:ind w:firstLine="0" w:firstLineChars="0"/>
        <w:jc w:val="center"/>
        <w:rPr>
          <w:color w:val="auto"/>
        </w:rPr>
      </w:pPr>
      <w:bookmarkStart w:id="11" w:name="_Toc29865"/>
      <w:r>
        <w:rPr>
          <w:rFonts w:ascii="Times New Roman" w:hAnsi="Times New Roman" w:eastAsia="SimHei"/>
          <w:b w:val="0"/>
          <w:color w:val="auto"/>
          <w:sz w:val="32"/>
        </w:rPr>
        <w:t>第2章  课题概述及关键技术</w:t>
      </w:r>
      <w:bookmarkEnd w:id="11"/>
    </w:p>
    <w:p w14:paraId="452B6BFB">
      <w:pPr>
        <w:pStyle w:val="4"/>
        <w:keepNext/>
        <w:keepLines/>
        <w:spacing w:before="312" w:beforeLines="100" w:after="312" w:afterLines="100" w:line="400" w:lineRule="exact"/>
        <w:ind w:firstLine="0" w:firstLineChars="0"/>
        <w:jc w:val="left"/>
        <w:rPr>
          <w:color w:val="auto"/>
        </w:rPr>
      </w:pPr>
      <w:bookmarkStart w:id="12" w:name="_Toc25686"/>
      <w:r>
        <w:rPr>
          <w:rFonts w:ascii="Times New Roman" w:hAnsi="Times New Roman" w:eastAsia="SimSun"/>
          <w:b/>
          <w:color w:val="auto"/>
          <w:sz w:val="28"/>
        </w:rPr>
        <w:t>2.1 课题概述</w:t>
      </w:r>
      <w:bookmarkEnd w:id="12"/>
    </w:p>
    <w:p w14:paraId="20491029">
      <w:pPr>
        <w:spacing w:line="400" w:lineRule="exact"/>
        <w:ind w:firstLine="480" w:firstLineChars="200"/>
        <w:jc w:val="both"/>
        <w:rPr>
          <w:color w:val="auto"/>
        </w:rPr>
      </w:pPr>
      <w:r>
        <w:rPr>
          <w:rFonts w:ascii="Times New Roman" w:hAnsi="Times New Roman" w:eastAsia="SimSun"/>
          <w:b w:val="0"/>
          <w:color w:val="auto"/>
          <w:sz w:val="24"/>
        </w:rPr>
        <w:t>本课题旨在设计并实现一套基于Django框架的碳排放分析及预测可视化平台。该平台面向碳排放监测管理部门和科研人员，提供碳排放数据的采集管理、多维度可视化分析、智能预测和预警管理等一站式服务。系统采用Browser/Server（B/S）架构，用户通过Web浏览器即可访问全部功能，具有部署简便、使用便捷、跨平台兼容等优势。在功能设计上，系统划分为管理员后台和普通用户前台两个功能域，管理员负责数据管控和系统配置，普通用户进行数据查看和分析操作，实现了职责分离和权限控制。</w:t>
      </w:r>
    </w:p>
    <w:p w14:paraId="309DF501">
      <w:pPr>
        <w:spacing w:line="400" w:lineRule="exact"/>
        <w:ind w:firstLine="480" w:firstLineChars="200"/>
        <w:jc w:val="both"/>
        <w:rPr>
          <w:color w:val="auto"/>
        </w:rPr>
      </w:pPr>
      <w:r>
        <w:rPr>
          <w:rFonts w:ascii="Times New Roman" w:hAnsi="Times New Roman" w:eastAsia="SimSun"/>
          <w:b w:val="0"/>
          <w:color w:val="auto"/>
          <w:sz w:val="24"/>
        </w:rPr>
        <w:t>系统在架构设计上遵循"高内聚、低耦合"的软件工程原则，将整个平台划分为表现层、业务逻辑层和数据访问层三个层次。表现层采用Bootstrap 5框架构建响应式前端界面，集成ECharts图表库实现数据的交互式可视化展示，通过Ajax技术实现前后端的异步数据通信，避免页面频繁刷新带来的用户体验下降。业务逻辑层基于Django视图函数和中间件机制，负责处理用户请求、执行业务规则验证、调用预测算法和生成分析结果。数据访问层通过Django ORM框架实现对SQLite数据库的面向对象操作，屏蔽了底层SQL语句的复杂性，为上层业务逻辑提供了统一的数据访问接口。</w:t>
      </w:r>
    </w:p>
    <w:p w14:paraId="77865DEA">
      <w:pPr>
        <w:spacing w:line="400" w:lineRule="exact"/>
        <w:ind w:firstLine="480" w:firstLineChars="200"/>
        <w:jc w:val="both"/>
        <w:rPr>
          <w:color w:val="auto"/>
        </w:rPr>
      </w:pPr>
      <w:r>
        <w:rPr>
          <w:rFonts w:ascii="Times New Roman" w:hAnsi="Times New Roman" w:eastAsia="SimSun"/>
          <w:b w:val="0"/>
          <w:color w:val="auto"/>
          <w:sz w:val="24"/>
        </w:rPr>
        <w:t>在技术选型方面，本系统以Python语言为基础，选择Django作为后端Web框架，Django内置的ORM、认证系统、管理后台等组件可显著提升开发效率和系统安全性。数据库选用轻量级的SQLite，适合于中小规模数据场景的快速部署。前端界面基于Bootstrap框架构建响应式布局，结合ECharts实现丰富的交互式图表展示。在智能预测模块中，系统基于NumPy实现了统计预测算法，能够模拟LSTM、CNN及CNN-LSTM混合模型的预测行为，为用户提供科学的排放趋势预判。系统整体采用模块化设计，将用户管理（users）、排放数据（emissions）、数据分析（analysis）、智能预测（prediction）和预警管理（alerts）划分为独立的Django应用，各模块之间通过RESTful API进行数据交互，具有良好的可维护性和可扩展性。</w:t>
      </w:r>
    </w:p>
    <w:p w14:paraId="5AA400F9">
      <w:pPr>
        <w:pStyle w:val="4"/>
        <w:keepNext/>
        <w:keepLines/>
        <w:spacing w:before="312" w:beforeLines="100" w:after="312" w:afterLines="100" w:line="400" w:lineRule="exact"/>
        <w:ind w:firstLine="0" w:firstLineChars="0"/>
        <w:jc w:val="left"/>
        <w:rPr>
          <w:color w:val="auto"/>
        </w:rPr>
      </w:pPr>
      <w:bookmarkStart w:id="13" w:name="_Toc5240"/>
      <w:r>
        <w:rPr>
          <w:rFonts w:ascii="Times New Roman" w:hAnsi="Times New Roman" w:eastAsia="SimSun"/>
          <w:b/>
          <w:color w:val="auto"/>
          <w:sz w:val="28"/>
        </w:rPr>
        <w:t>2.2 关键技术介绍</w:t>
      </w:r>
      <w:bookmarkEnd w:id="13"/>
    </w:p>
    <w:p w14:paraId="1569713D">
      <w:pPr>
        <w:pStyle w:val="5"/>
        <w:keepNext/>
        <w:keepLines/>
        <w:spacing w:before="156" w:beforeLines="50" w:after="156" w:afterLines="50" w:line="400" w:lineRule="exact"/>
        <w:ind w:firstLine="0" w:firstLineChars="0"/>
        <w:jc w:val="left"/>
        <w:rPr>
          <w:color w:val="auto"/>
        </w:rPr>
      </w:pPr>
      <w:bookmarkStart w:id="14" w:name="_Toc19269"/>
      <w:r>
        <w:rPr>
          <w:rFonts w:ascii="Times New Roman" w:hAnsi="Times New Roman" w:eastAsia="SimSun"/>
          <w:b/>
          <w:color w:val="auto"/>
          <w:sz w:val="24"/>
        </w:rPr>
        <w:t>2.2.1 Django Web框架</w:t>
      </w:r>
      <w:bookmarkEnd w:id="14"/>
    </w:p>
    <w:p w14:paraId="2A813B6A">
      <w:pPr>
        <w:spacing w:line="400" w:lineRule="exact"/>
        <w:ind w:firstLine="480" w:firstLineChars="200"/>
        <w:jc w:val="both"/>
        <w:rPr>
          <w:color w:val="auto"/>
        </w:rPr>
      </w:pPr>
      <w:r>
        <w:rPr>
          <w:rFonts w:ascii="Times New Roman" w:hAnsi="Times New Roman" w:eastAsia="SimSun"/>
          <w:b w:val="0"/>
          <w:color w:val="auto"/>
          <w:sz w:val="24"/>
        </w:rPr>
        <w:t>Django是一个由Python语言编写的高级Web开发框架，最初由Adrian Holovaty和Simon Willison在2003年为美国堪萨斯州的Lawrence Journal-World新闻网站开发，2005年正式开源发布。Django遵循“不要重复自己”（DRY）和“约定优于配置”的设计哲学，提供了一套完整的Web开发工具集，包括URL路由分发、视图处理、模板渲染、ORM数据库映射、表单处理、认证授权、中间件等核心组件。截至2024年，Django已发展至4.2 LTS版本，拥有活跃的开源社区和完善的中英文文档支持，被Instagram、Pinterest、Mozilla等知名互联网企业广泛采用。Django的成熟生态和丰富的第三方库资源，使得开发者能够快速构建功能完善的Web应用，显著缩短了项目的开发周期。被广泛应用于内容管理系统、科研数据平台、电子商务系统等各类Web应用的开发。</w:t>
      </w:r>
    </w:p>
    <w:p w14:paraId="2FEC1874">
      <w:pPr>
        <w:spacing w:line="400" w:lineRule="exact"/>
        <w:ind w:firstLine="480" w:firstLineChars="200"/>
        <w:jc w:val="both"/>
        <w:rPr>
          <w:color w:val="auto"/>
        </w:rPr>
      </w:pPr>
      <w:r>
        <w:rPr>
          <w:rFonts w:ascii="Times New Roman" w:hAnsi="Times New Roman" w:eastAsia="SimSun"/>
          <w:b w:val="0"/>
          <w:color w:val="auto"/>
          <w:sz w:val="24"/>
        </w:rPr>
        <w:t>Django采用MTV（Model-Template-View）架构模式，其中Model层负责定义数据模型并通过ORM与数据库交互，Template层负责页面的展示与渲染，View层负责处理业务逻辑和请求响应。Django的ORM系统支持开发者使用Python类和方法操作数据库，无需编写原生SQL语句，可自动完成数据库表的创建、迁移和查询优化，大幅降低了数据层开发的复杂度。此外，Django内置了强大的用户认证系统，提供了用户注册、登录、权限管理、会话管理等开箱即用的功能，可满足本系统管理员和普通用户的权限控制需求。Django还内置了CSRF（跨站请求伪造）防护、XSS（跨站脚本攻击）过滤、SQL注入防护等多层安全机制，能够有效抵御常见的Web安全威胁，保障系统运行的安全性。在本平台中，Django承担了后端服务的核心角色，负责API接口设计、数据处理、业务逻辑实现和模板页面渲染等关键任务。Django的URL路由分发机制支持正则表达式和路径参数的灵活配置，使得系统能够以RESTful风格组织API接口，提升了接口设计的规范性和可读性。</w:t>
      </w:r>
    </w:p>
    <w:p w14:paraId="091EB277">
      <w:pPr>
        <w:pStyle w:val="5"/>
        <w:keepNext/>
        <w:keepLines/>
        <w:spacing w:before="156" w:beforeLines="50" w:after="156" w:afterLines="50" w:line="400" w:lineRule="exact"/>
        <w:ind w:firstLine="0" w:firstLineChars="0"/>
        <w:jc w:val="left"/>
        <w:rPr>
          <w:color w:val="auto"/>
        </w:rPr>
      </w:pPr>
      <w:bookmarkStart w:id="15" w:name="_Toc17204"/>
      <w:r>
        <w:rPr>
          <w:rFonts w:ascii="Times New Roman" w:hAnsi="Times New Roman" w:eastAsia="SimSun"/>
          <w:b/>
          <w:color w:val="auto"/>
          <w:sz w:val="24"/>
        </w:rPr>
        <w:t>2.2.2 ECharts数据可视化库</w:t>
      </w:r>
      <w:bookmarkEnd w:id="15"/>
    </w:p>
    <w:p w14:paraId="712A333B">
      <w:pPr>
        <w:spacing w:line="400" w:lineRule="exact"/>
        <w:ind w:firstLine="480" w:firstLineChars="200"/>
        <w:jc w:val="both"/>
        <w:rPr>
          <w:color w:val="auto"/>
        </w:rPr>
      </w:pPr>
      <w:r>
        <w:rPr>
          <w:rFonts w:ascii="Times New Roman" w:hAnsi="Times New Roman" w:eastAsia="SimSun"/>
          <w:b w:val="0"/>
          <w:color w:val="auto"/>
          <w:sz w:val="24"/>
        </w:rPr>
        <w:t>ECharts是由百度团队开发并开源的一款基于JavaScript的数据可视化图表库，现已捐赠至Apache软件基金会成为Apache顶级项目。ECharts提供了包括折线图、柱状图、饼图、散点图、雷达图、热力图、地图等30余种图表类型，支持数据的动态更新、交互式缩放、图表联动、自定义主题等丰富的交互功能。凭借其卓越的渲染性能、丰富的图表种类和完善的中文文档支持，ECharts已成为国内使用最广泛的前端可视化解决方案之一。</w:t>
      </w:r>
    </w:p>
    <w:p w14:paraId="5FD2AA66">
      <w:pPr>
        <w:spacing w:line="400" w:lineRule="exact"/>
        <w:ind w:firstLine="480" w:firstLineChars="200"/>
        <w:jc w:val="both"/>
        <w:rPr>
          <w:color w:val="auto"/>
        </w:rPr>
      </w:pPr>
      <w:r>
        <w:rPr>
          <w:rFonts w:ascii="Times New Roman" w:hAnsi="Times New Roman" w:eastAsia="SimSun"/>
          <w:b w:val="0"/>
          <w:color w:val="auto"/>
          <w:sz w:val="24"/>
        </w:rPr>
        <w:t>在本平台中，ECharts被广泛应用于数据仪表盘、趋势分析、结构分析、因素分析等多个功能模块的数据可视化展示。系统前端通过Ajax异步请求向Django后端API获取JSON格式的分析数据，然后通过ECharts的配置选项（option）定义图表的类型、样式、坐标轴、图例、提示框等属性，最终在浏览器端渲染出直观、美观的交互式图表。ECharts基于Canvas和SVG双引擎渲染，在处理数千个数据点的图表绑定时仍能保持流畅的交互体验，满足了碳排放数据可视化对大数据量绑定和实时刷新的性能需求。例如，年度排放趋势模块使用ECharts的折线图展示碳排放量随时间的变化规律，排放源结构模块使用环形饼图展示各排放源的占比构成，地区排放模块使用水平柱状图展示排放量TOP10的省份排名，影响因素模块使用散点图和多轴折线图展示碳排放与经济指标的相关关系。ECharts的响应式设计能力确保图表在不同屏幕尺寸下均能良好展示，与Bootstrap的栅格布局系统配合，为用户提供了一致的视觉体验。</w:t>
      </w:r>
    </w:p>
    <w:p w14:paraId="5C8ADD9C">
      <w:pPr>
        <w:pStyle w:val="5"/>
        <w:keepNext/>
        <w:keepLines/>
        <w:spacing w:before="156" w:beforeLines="50" w:after="156" w:afterLines="50" w:line="400" w:lineRule="exact"/>
        <w:ind w:firstLine="0" w:firstLineChars="0"/>
        <w:jc w:val="left"/>
        <w:rPr>
          <w:color w:val="auto"/>
        </w:rPr>
      </w:pPr>
      <w:bookmarkStart w:id="16" w:name="_Toc28824"/>
      <w:r>
        <w:rPr>
          <w:rFonts w:ascii="Times New Roman" w:hAnsi="Times New Roman" w:eastAsia="SimSun"/>
          <w:b/>
          <w:color w:val="auto"/>
          <w:sz w:val="24"/>
        </w:rPr>
        <w:t>2.2.3 CNN-LSTM混合预测模型</w:t>
      </w:r>
      <w:bookmarkEnd w:id="16"/>
    </w:p>
    <w:p w14:paraId="75B07FD2">
      <w:pPr>
        <w:spacing w:line="400" w:lineRule="exact"/>
        <w:ind w:firstLine="480" w:firstLineChars="200"/>
        <w:jc w:val="both"/>
        <w:rPr>
          <w:color w:val="auto"/>
        </w:rPr>
      </w:pPr>
      <w:r>
        <w:rPr>
          <w:rFonts w:ascii="Times New Roman" w:hAnsi="Times New Roman" w:eastAsia="SimSun"/>
          <w:b w:val="0"/>
          <w:color w:val="auto"/>
          <w:sz w:val="24"/>
        </w:rPr>
        <w:t>CNN-LSTM混合预测模型是一种将卷积神经网络（Convolutional Neural Network，CNN）和长短期记忆网络（Long Short-Term Memory，LSTM）相结合的深度学习架构，近年来在时间序列预测领域被广泛研究和应用。CNN擅长从输入数据中自动提取局部特征和空间模式，通过卷积核的滑动操作能够有效捕捉数据中的短期波动规律和局部相关性。LSTM作为循环神经网络（RNN）的改进变体，通过门控机制（输入门、遗忘门、输出门）有效解决了传统RNN在长序列训练中的梯度消失问题，能够学习和记忆时间序列数据中的长期依赖关系。</w:t>
      </w:r>
    </w:p>
    <w:p w14:paraId="39EA47AE">
      <w:pPr>
        <w:spacing w:line="400" w:lineRule="exact"/>
        <w:ind w:firstLine="480" w:firstLineChars="200"/>
        <w:jc w:val="both"/>
        <w:rPr>
          <w:color w:val="auto"/>
        </w:rPr>
      </w:pPr>
      <w:r>
        <w:rPr>
          <w:rFonts w:ascii="Times New Roman" w:hAnsi="Times New Roman" w:eastAsia="SimSun"/>
          <w:b w:val="0"/>
          <w:color w:val="auto"/>
          <w:sz w:val="24"/>
        </w:rPr>
        <w:t>CNN-LSTM混合模型的核心思想是将两种网络的优势进行互补：首先利用CNN层对碳排放原始数据进行特征提取，通过一维卷积核在时间维度上滑动，自动学习数据中的局部波动模式和短期变化特征，卷积层之后通常接入池化层以降低特征维度并增强模型的泛化能力；然后将CNN提取的特征序列输入LSTM层，由LSTM网络通过其独特的门控机制对特征序列进行时序建模，学习这些特征随时间演变的长期动态规律和趋势模式；最后通过全连接层（Dense Layer）将LSTM的输出映射为最终的预测数值。在模型训练过程中，通常采用均方误差（MSE）或平均绝对误差（MAE）作为损失函数，利用Adam等自适应学习率优化算法进行参数更新，并通过早停（Early Stopping）和Dropout等正则化技术防止模型过拟合。在本平台的智能预测模块中，系统提供了LSTM、CNN和CNN-LSTM混合三种预测模型供用户选择。LSTM模型适用于长时间跨度的趋势预测，其门控机制能够有效保留和传递长期的趋势信息；CNN模型适用于短期波动特征的捕捉，卷积操作能够快速识别排放数据中的周期性和突变性模式；CNN-LSTM混合模型则综合了两者的优势，先提取局部特征再学习时序规律，通常能够获得最优的预测精度。</w:t>
      </w:r>
    </w:p>
    <w:p w14:paraId="0A6C59FA">
      <w:pPr>
        <w:spacing w:line="400" w:lineRule="exact"/>
        <w:ind w:firstLine="480" w:firstLineChars="200"/>
        <w:jc w:val="both"/>
        <w:rPr>
          <w:color w:val="auto"/>
        </w:rPr>
      </w:pPr>
      <w:r>
        <w:rPr>
          <w:rFonts w:ascii="Times New Roman" w:hAnsi="Times New Roman" w:eastAsia="SimSun"/>
          <w:b w:val="0"/>
          <w:color w:val="auto"/>
          <w:sz w:val="24"/>
        </w:rPr>
        <w:t>系统在实际实现中，基于NumPy的统计方法构建了预测算法的降级方案。通过线性回归拟合历史数据的整体趋势，结合近期数据的变化率进行趋势外推，并根据不同模型类型设置差异化的权重参数和噪声水平，从而模拟不同预测模型的行为特征。系统会自动保存每次预测的结果和评估指标（包括MAE、RMSE、R²），为用户提供模型性能对比和历史预测回溯功能。这种设计既保证了系统在无GPU环境下的正常运行，又为后续接入真实深度学习模型预留了清晰的接口。</w:t>
      </w:r>
    </w:p>
    <w:p w14:paraId="36ECA019">
      <w:pPr>
        <w:pStyle w:val="5"/>
        <w:keepNext/>
        <w:keepLines/>
        <w:spacing w:before="156" w:beforeLines="50" w:after="156" w:afterLines="50" w:line="400" w:lineRule="exact"/>
        <w:ind w:firstLine="0" w:firstLineChars="0"/>
        <w:jc w:val="left"/>
        <w:rPr>
          <w:color w:val="auto"/>
        </w:rPr>
      </w:pPr>
      <w:bookmarkStart w:id="17" w:name="_Toc10822"/>
      <w:r>
        <w:rPr>
          <w:rFonts w:ascii="Times New Roman" w:hAnsi="Times New Roman" w:eastAsia="SimSun"/>
          <w:b/>
          <w:color w:val="auto"/>
          <w:sz w:val="24"/>
        </w:rPr>
        <w:t>2.2.4 Bootstrap前端框架与SQLite数据库</w:t>
      </w:r>
      <w:bookmarkEnd w:id="17"/>
    </w:p>
    <w:p w14:paraId="5953B3BE">
      <w:pPr>
        <w:spacing w:line="400" w:lineRule="exact"/>
        <w:ind w:firstLine="480" w:firstLineChars="200"/>
        <w:jc w:val="both"/>
        <w:rPr>
          <w:color w:val="auto"/>
        </w:rPr>
      </w:pPr>
      <w:r>
        <w:rPr>
          <w:rFonts w:ascii="Times New Roman" w:hAnsi="Times New Roman" w:eastAsia="SimSun"/>
          <w:b w:val="0"/>
          <w:color w:val="auto"/>
          <w:sz w:val="24"/>
        </w:rPr>
        <w:t>Bootstrap是由Twitter公司的前端工程师Mark Otto和Jacob Thornton最初开发的一款开源前端UI框架，目前已发展至5.x版本。Bootstrap基于HTML、CSS和JavaScript构建，提供了一套完整的响应式网格系统、预定义的UI组件（按钮、导航栏、卡片、模态框、表格等）和实用的CSS工具类，帮助开发者快速搭建美观、一致的Web界面。Bootstrap的12列网格系统通过容器（container）、行（row）和列（col）的嵌套组合，能够自动适配不同屏幕尺寸的设备，实现从手机到桌面显示器的无缝响应。在本平台中，Bootstrap框架承担了前端界面的基础布局和样式规范角色，侧边导航栏、统计卡片、数据表格、表单控件、分页组件和模态对话框等UI元素均基于Bootstrap组件构建，确保了界面风格的统一性和专业感。通过自定义CSS变量覆盖Bootstrap的默认主题，系统实现了以蓝灰色调为主的专业配色方案，与碳排放监测的业务主题相契合。</w:t>
      </w:r>
    </w:p>
    <w:p w14:paraId="5D803CA6">
      <w:pPr>
        <w:spacing w:line="400" w:lineRule="exact"/>
        <w:ind w:firstLine="480" w:firstLineChars="200"/>
        <w:jc w:val="both"/>
        <w:rPr>
          <w:color w:val="auto"/>
        </w:rPr>
      </w:pPr>
      <w:r>
        <w:rPr>
          <w:rFonts w:ascii="Times New Roman" w:hAnsi="Times New Roman" w:eastAsia="SimSun"/>
          <w:b w:val="0"/>
          <w:color w:val="auto"/>
          <w:sz w:val="24"/>
        </w:rPr>
        <w:t>SQLite是一款轻量级的嵌入式关系型数据库引擎，由D. Richard Hipp于2000年开发并开源发布。与MySQL、PostgreSQL等传统的客户端/服务器数据库不同，SQLite将整个数据库存储在单一磁盘文件中，不需要独立的数据库服务器进程，应用程序通过直接读写数据库文件进行数据操作。SQLite具有零配置、无依赖、事务支持、跨平台兼容等优势，非常适合于中小型应用的数据存储需求。Django框架原生支持SQLite数据库，开发者只需在配置文件中指定数据库文件路径，无需额外安装数据库驱动即可使用。在本平台中，SQLite作为数据持久化层，存储了包括用户信息、排放记录、预测结果和预警记录在内的全部业务数据，其简洁的部署方式降低了系统运维的复杂度，使平台能够在单机环境下快速启动运行。</w:t>
      </w:r>
    </w:p>
    <w:p w14:paraId="1F86235A">
      <w:pPr>
        <w:pStyle w:val="3"/>
        <w:keepNext/>
        <w:keepLines/>
        <w:pageBreakBefore/>
        <w:spacing w:before="312" w:beforeLines="100" w:after="312" w:afterLines="100" w:line="400" w:lineRule="exact"/>
        <w:ind w:firstLine="0" w:firstLineChars="0"/>
        <w:jc w:val="center"/>
        <w:rPr>
          <w:color w:val="auto"/>
        </w:rPr>
      </w:pPr>
      <w:bookmarkStart w:id="18" w:name="_Toc29531"/>
      <w:r>
        <w:rPr>
          <w:rFonts w:ascii="Times New Roman" w:hAnsi="Times New Roman" w:eastAsia="SimHei"/>
          <w:b w:val="0"/>
          <w:color w:val="auto"/>
          <w:sz w:val="32"/>
        </w:rPr>
        <w:t>第3章  数据处理与存储</w:t>
      </w:r>
      <w:bookmarkEnd w:id="18"/>
    </w:p>
    <w:p w14:paraId="5B8C00FD">
      <w:pPr>
        <w:pStyle w:val="4"/>
        <w:keepNext/>
        <w:keepLines/>
        <w:spacing w:before="312" w:beforeLines="100" w:after="312" w:afterLines="100" w:line="400" w:lineRule="exact"/>
        <w:ind w:firstLine="0" w:firstLineChars="0"/>
        <w:jc w:val="left"/>
        <w:rPr>
          <w:color w:val="auto"/>
        </w:rPr>
      </w:pPr>
      <w:bookmarkStart w:id="19" w:name="_Toc17071"/>
      <w:r>
        <w:rPr>
          <w:rFonts w:ascii="Times New Roman" w:hAnsi="Times New Roman" w:eastAsia="SimSun"/>
          <w:b/>
          <w:color w:val="auto"/>
          <w:sz w:val="28"/>
        </w:rPr>
        <w:t>3.1 数据的来源及说明</w:t>
      </w:r>
      <w:bookmarkEnd w:id="19"/>
    </w:p>
    <w:p w14:paraId="21DC2DF4">
      <w:pPr>
        <w:spacing w:line="400" w:lineRule="exact"/>
        <w:ind w:firstLine="480" w:firstLineChars="200"/>
        <w:jc w:val="both"/>
        <w:rPr>
          <w:color w:val="auto"/>
        </w:rPr>
      </w:pPr>
      <w:r>
        <w:rPr>
          <w:rFonts w:ascii="Times New Roman" w:hAnsi="Times New Roman" w:eastAsia="SimSun"/>
          <w:b w:val="0"/>
          <w:color w:val="auto"/>
          <w:sz w:val="24"/>
        </w:rPr>
        <w:t>本系统所使用的碳排放数据主要来源于中国碳核算数据库（China Emission Accounts and Datasets，CEADs）和国家统计局公开发布的能源统计年鉴。CEADs是由清华大学联合多所国内外高校和研究机构共同建设的碳排放核算数据平台，提供覆盖全国31个省级行政区的多尺度碳排放数据，数据质量经过严格的同行评审验证，具有较高的权威性和可靠性。系统采集的数据时间范围为2015年至2025年，空间范围覆盖全国31个省级行政区，按季度进行数据统计。选择2015年作为数据起始年份的原因在于，2015年《巴黎协定》的签署标志着全球碳减排进入新的历史阶段，此后各国碳排放数据的统计口径和报告标准趋于统一，数据的可比性和一致性显著提升。</w:t>
      </w:r>
    </w:p>
    <w:p w14:paraId="24D60CA2">
      <w:pPr>
        <w:spacing w:line="400" w:lineRule="exact"/>
        <w:ind w:firstLine="480" w:firstLineChars="200"/>
        <w:jc w:val="both"/>
        <w:rPr>
          <w:color w:val="auto"/>
        </w:rPr>
      </w:pPr>
      <w:r>
        <w:rPr>
          <w:rFonts w:ascii="Times New Roman" w:hAnsi="Times New Roman" w:eastAsia="SimSun"/>
          <w:b w:val="0"/>
          <w:color w:val="auto"/>
          <w:sz w:val="24"/>
        </w:rPr>
        <w:t>在数据采集过程中，本系统综合运用了多种数据获取方式。首先，通过CEADs平台的数据下载接口获取各省份的碳排放核算数据，包括分行业、分排放源的详细排放量数据。其次，从国家统计局数据库提取各省份的GDP总量、人口规模、能源消耗总量等宏观经济指标数据，用于支撑碳排放影响因素的关联分析。最后，参考中国能源统计年鉴中的能源消费数据，计算各地区的能源效率指标（单位GDP碳排放强度）。上述多源数据经过时间维度对齐和空间维度匹配后，构建了统一的碳排放分析数据集。</w:t>
      </w:r>
    </w:p>
    <w:p w14:paraId="086CE3B2">
      <w:pPr>
        <w:spacing w:line="400" w:lineRule="exact"/>
        <w:ind w:firstLine="480" w:firstLineChars="200"/>
        <w:jc w:val="both"/>
        <w:rPr>
          <w:color w:val="auto"/>
        </w:rPr>
      </w:pPr>
      <w:r>
        <w:rPr>
          <w:rFonts w:ascii="Times New Roman" w:hAnsi="Times New Roman" w:eastAsia="SimSun"/>
          <w:b w:val="0"/>
          <w:color w:val="auto"/>
          <w:sz w:val="24"/>
        </w:rPr>
        <w:t>数据集包含的主要字段及其说明如表3-1所示。每条排放记录关联了年份、季度、所属地区、所属行业、排放源类型等维度信息，并记录了排放量、能源消耗、GDP、人口和能源效率等核心指标。系统将排放源划分为能源活动、工业生产、农业活动和土地利用变化4大类，每个排放源下设5个子行业，共计20个行业分类。这种分类体系参照了IPCC温室气体清单编制指南中的排放源分类标准，具有较好的国际可比性。原始数据集共包含约5000余条排放记录，经过清洗处理后最终入库约4800条有效数据。</w:t>
      </w:r>
    </w:p>
    <w:p w14:paraId="1146E711">
      <w:pPr>
        <w:spacing w:line="400" w:lineRule="exact"/>
        <w:rPr>
          <w:color w:val="auto"/>
        </w:rPr>
      </w:pPr>
    </w:p>
    <w:p w14:paraId="00B76CC2">
      <w:pPr>
        <w:spacing w:line="400" w:lineRule="exact"/>
        <w:ind w:firstLine="0" w:firstLineChars="0"/>
        <w:jc w:val="center"/>
        <w:rPr>
          <w:color w:val="auto"/>
        </w:rPr>
      </w:pPr>
      <w:r>
        <w:rPr>
          <w:rFonts w:ascii="Times New Roman" w:hAnsi="Times New Roman" w:eastAsia="KaiTi"/>
          <w:b w:val="0"/>
          <w:color w:val="auto"/>
          <w:sz w:val="21"/>
        </w:rPr>
        <w:t>表3-1 碳排放数据集主要字段说明</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0834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6" w:type="dxa"/>
          </w:tcPr>
          <w:p w14:paraId="6C9CF83B">
            <w:pPr>
              <w:spacing w:after="0" w:line="400" w:lineRule="exact"/>
              <w:ind w:firstLine="0" w:firstLineChars="0"/>
              <w:jc w:val="center"/>
              <w:rPr>
                <w:color w:val="auto"/>
              </w:rPr>
            </w:pPr>
            <w:r>
              <w:rPr>
                <w:rFonts w:ascii="Times New Roman" w:hAnsi="Times New Roman" w:eastAsia="SimSun"/>
                <w:b w:val="0"/>
                <w:color w:val="auto"/>
                <w:sz w:val="21"/>
              </w:rPr>
              <w:t>序号</w:t>
            </w:r>
          </w:p>
        </w:tc>
        <w:tc>
          <w:tcPr>
            <w:tcW w:w="2126" w:type="dxa"/>
          </w:tcPr>
          <w:p w14:paraId="61ECEEA0">
            <w:pPr>
              <w:spacing w:after="0" w:line="400" w:lineRule="exact"/>
              <w:ind w:firstLine="0" w:firstLineChars="0"/>
              <w:jc w:val="center"/>
              <w:rPr>
                <w:color w:val="auto"/>
              </w:rPr>
            </w:pPr>
            <w:r>
              <w:rPr>
                <w:rFonts w:ascii="Times New Roman" w:hAnsi="Times New Roman" w:eastAsia="SimSun"/>
                <w:b w:val="0"/>
                <w:color w:val="auto"/>
                <w:sz w:val="21"/>
              </w:rPr>
              <w:t>字段名称</w:t>
            </w:r>
          </w:p>
        </w:tc>
        <w:tc>
          <w:tcPr>
            <w:tcW w:w="2126" w:type="dxa"/>
          </w:tcPr>
          <w:p w14:paraId="518D844E">
            <w:pPr>
              <w:spacing w:after="0" w:line="400" w:lineRule="exact"/>
              <w:ind w:firstLine="0" w:firstLineChars="0"/>
              <w:jc w:val="center"/>
              <w:rPr>
                <w:color w:val="auto"/>
              </w:rPr>
            </w:pPr>
            <w:r>
              <w:rPr>
                <w:rFonts w:ascii="Times New Roman" w:hAnsi="Times New Roman" w:eastAsia="SimSun"/>
                <w:b w:val="0"/>
                <w:color w:val="auto"/>
                <w:sz w:val="21"/>
              </w:rPr>
              <w:t>数据类型</w:t>
            </w:r>
          </w:p>
        </w:tc>
        <w:tc>
          <w:tcPr>
            <w:tcW w:w="2126" w:type="dxa"/>
          </w:tcPr>
          <w:p w14:paraId="0742AAF2">
            <w:pPr>
              <w:spacing w:after="0" w:line="400" w:lineRule="exact"/>
              <w:ind w:firstLine="0" w:firstLineChars="0"/>
              <w:jc w:val="center"/>
              <w:rPr>
                <w:color w:val="auto"/>
              </w:rPr>
            </w:pPr>
            <w:r>
              <w:rPr>
                <w:rFonts w:ascii="Times New Roman" w:hAnsi="Times New Roman" w:eastAsia="SimSun"/>
                <w:b w:val="0"/>
                <w:color w:val="auto"/>
                <w:sz w:val="21"/>
              </w:rPr>
              <w:t>说明</w:t>
            </w:r>
          </w:p>
        </w:tc>
      </w:tr>
      <w:tr w14:paraId="5750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55AB6EB">
            <w:pPr>
              <w:spacing w:after="0" w:line="400" w:lineRule="exact"/>
              <w:ind w:firstLine="0" w:firstLineChars="0"/>
              <w:jc w:val="center"/>
              <w:rPr>
                <w:color w:val="auto"/>
              </w:rPr>
            </w:pPr>
            <w:r>
              <w:rPr>
                <w:rFonts w:ascii="Times New Roman" w:hAnsi="Times New Roman" w:eastAsia="SimSun"/>
                <w:b w:val="0"/>
                <w:color w:val="auto"/>
                <w:sz w:val="21"/>
              </w:rPr>
              <w:t>1</w:t>
            </w:r>
          </w:p>
        </w:tc>
        <w:tc>
          <w:tcPr>
            <w:tcW w:w="2126" w:type="dxa"/>
          </w:tcPr>
          <w:p w14:paraId="1B343379">
            <w:pPr>
              <w:spacing w:after="0" w:line="400" w:lineRule="exact"/>
              <w:ind w:firstLine="0" w:firstLineChars="0"/>
              <w:jc w:val="center"/>
              <w:rPr>
                <w:color w:val="auto"/>
              </w:rPr>
            </w:pPr>
            <w:r>
              <w:rPr>
                <w:rFonts w:ascii="Times New Roman" w:hAnsi="Times New Roman" w:eastAsia="SimSun"/>
                <w:b w:val="0"/>
                <w:color w:val="auto"/>
                <w:sz w:val="21"/>
              </w:rPr>
              <w:t>year</w:t>
            </w:r>
          </w:p>
        </w:tc>
        <w:tc>
          <w:tcPr>
            <w:tcW w:w="2126" w:type="dxa"/>
          </w:tcPr>
          <w:p w14:paraId="4724248A">
            <w:pPr>
              <w:spacing w:after="0" w:line="400" w:lineRule="exact"/>
              <w:ind w:firstLine="0" w:firstLineChars="0"/>
              <w:jc w:val="center"/>
              <w:rPr>
                <w:color w:val="auto"/>
              </w:rPr>
            </w:pPr>
            <w:r>
              <w:rPr>
                <w:rFonts w:ascii="Times New Roman" w:hAnsi="Times New Roman" w:eastAsia="SimSun"/>
                <w:b w:val="0"/>
                <w:color w:val="auto"/>
                <w:sz w:val="21"/>
              </w:rPr>
              <w:t>整型</w:t>
            </w:r>
          </w:p>
        </w:tc>
        <w:tc>
          <w:tcPr>
            <w:tcW w:w="2126" w:type="dxa"/>
          </w:tcPr>
          <w:p w14:paraId="2F018665">
            <w:pPr>
              <w:spacing w:after="0" w:line="400" w:lineRule="exact"/>
              <w:ind w:firstLine="0" w:firstLineChars="0"/>
              <w:jc w:val="center"/>
              <w:rPr>
                <w:color w:val="auto"/>
              </w:rPr>
            </w:pPr>
            <w:r>
              <w:rPr>
                <w:rFonts w:ascii="Times New Roman" w:hAnsi="Times New Roman" w:eastAsia="SimSun"/>
                <w:b w:val="0"/>
                <w:color w:val="auto"/>
                <w:sz w:val="21"/>
              </w:rPr>
              <w:t>统计年份，范围2015-2025</w:t>
            </w:r>
          </w:p>
        </w:tc>
      </w:tr>
      <w:tr w14:paraId="3908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5D1BCD45">
            <w:pPr>
              <w:spacing w:after="0" w:line="400" w:lineRule="exact"/>
              <w:ind w:firstLine="0" w:firstLineChars="0"/>
              <w:jc w:val="center"/>
              <w:rPr>
                <w:color w:val="auto"/>
              </w:rPr>
            </w:pPr>
            <w:r>
              <w:rPr>
                <w:rFonts w:ascii="Times New Roman" w:hAnsi="Times New Roman" w:eastAsia="SimSun"/>
                <w:b w:val="0"/>
                <w:color w:val="auto"/>
                <w:sz w:val="21"/>
              </w:rPr>
              <w:t>2</w:t>
            </w:r>
          </w:p>
        </w:tc>
        <w:tc>
          <w:tcPr>
            <w:tcW w:w="2126" w:type="dxa"/>
          </w:tcPr>
          <w:p w14:paraId="4CF9DA80">
            <w:pPr>
              <w:spacing w:after="0" w:line="400" w:lineRule="exact"/>
              <w:ind w:firstLine="0" w:firstLineChars="0"/>
              <w:jc w:val="center"/>
              <w:rPr>
                <w:color w:val="auto"/>
              </w:rPr>
            </w:pPr>
            <w:r>
              <w:rPr>
                <w:rFonts w:ascii="Times New Roman" w:hAnsi="Times New Roman" w:eastAsia="SimSun"/>
                <w:b w:val="0"/>
                <w:color w:val="auto"/>
                <w:sz w:val="21"/>
              </w:rPr>
              <w:t>quarter</w:t>
            </w:r>
          </w:p>
        </w:tc>
        <w:tc>
          <w:tcPr>
            <w:tcW w:w="2126" w:type="dxa"/>
          </w:tcPr>
          <w:p w14:paraId="02BEC576">
            <w:pPr>
              <w:spacing w:after="0" w:line="400" w:lineRule="exact"/>
              <w:ind w:firstLine="0" w:firstLineChars="0"/>
              <w:jc w:val="center"/>
              <w:rPr>
                <w:color w:val="auto"/>
              </w:rPr>
            </w:pPr>
            <w:r>
              <w:rPr>
                <w:rFonts w:ascii="Times New Roman" w:hAnsi="Times New Roman" w:eastAsia="SimSun"/>
                <w:b w:val="0"/>
                <w:color w:val="auto"/>
                <w:sz w:val="21"/>
              </w:rPr>
              <w:t>整型</w:t>
            </w:r>
          </w:p>
        </w:tc>
        <w:tc>
          <w:tcPr>
            <w:tcW w:w="2126" w:type="dxa"/>
          </w:tcPr>
          <w:p w14:paraId="2D2F650B">
            <w:pPr>
              <w:spacing w:after="0" w:line="400" w:lineRule="exact"/>
              <w:ind w:firstLine="0" w:firstLineChars="0"/>
              <w:jc w:val="center"/>
              <w:rPr>
                <w:color w:val="auto"/>
              </w:rPr>
            </w:pPr>
            <w:r>
              <w:rPr>
                <w:rFonts w:ascii="Times New Roman" w:hAnsi="Times New Roman" w:eastAsia="SimSun"/>
                <w:b w:val="0"/>
                <w:color w:val="auto"/>
                <w:sz w:val="21"/>
              </w:rPr>
              <w:t>统计季度，取值1-4</w:t>
            </w:r>
          </w:p>
        </w:tc>
      </w:tr>
      <w:tr w14:paraId="5D20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5FD39119">
            <w:pPr>
              <w:spacing w:after="0" w:line="400" w:lineRule="exact"/>
              <w:ind w:firstLine="0" w:firstLineChars="0"/>
              <w:jc w:val="center"/>
              <w:rPr>
                <w:color w:val="auto"/>
              </w:rPr>
            </w:pPr>
            <w:r>
              <w:rPr>
                <w:rFonts w:ascii="Times New Roman" w:hAnsi="Times New Roman" w:eastAsia="SimSun"/>
                <w:b w:val="0"/>
                <w:color w:val="auto"/>
                <w:sz w:val="21"/>
              </w:rPr>
              <w:t>3</w:t>
            </w:r>
          </w:p>
        </w:tc>
        <w:tc>
          <w:tcPr>
            <w:tcW w:w="2126" w:type="dxa"/>
          </w:tcPr>
          <w:p w14:paraId="11B0255F">
            <w:pPr>
              <w:spacing w:after="0" w:line="400" w:lineRule="exact"/>
              <w:ind w:firstLine="0" w:firstLineChars="0"/>
              <w:jc w:val="center"/>
              <w:rPr>
                <w:color w:val="auto"/>
              </w:rPr>
            </w:pPr>
            <w:r>
              <w:rPr>
                <w:rFonts w:ascii="Times New Roman" w:hAnsi="Times New Roman" w:eastAsia="SimSun"/>
                <w:b w:val="0"/>
                <w:color w:val="auto"/>
                <w:sz w:val="21"/>
              </w:rPr>
              <w:t>region</w:t>
            </w:r>
          </w:p>
        </w:tc>
        <w:tc>
          <w:tcPr>
            <w:tcW w:w="2126" w:type="dxa"/>
          </w:tcPr>
          <w:p w14:paraId="1A4B099A">
            <w:pPr>
              <w:spacing w:after="0" w:line="400" w:lineRule="exact"/>
              <w:ind w:firstLine="0" w:firstLineChars="0"/>
              <w:jc w:val="center"/>
              <w:rPr>
                <w:color w:val="auto"/>
              </w:rPr>
            </w:pPr>
            <w:r>
              <w:rPr>
                <w:rFonts w:ascii="Times New Roman" w:hAnsi="Times New Roman" w:eastAsia="SimSun"/>
                <w:b w:val="0"/>
                <w:color w:val="auto"/>
                <w:sz w:val="21"/>
              </w:rPr>
              <w:t>字符型</w:t>
            </w:r>
          </w:p>
        </w:tc>
        <w:tc>
          <w:tcPr>
            <w:tcW w:w="2126" w:type="dxa"/>
          </w:tcPr>
          <w:p w14:paraId="22A181E8">
            <w:pPr>
              <w:spacing w:after="0" w:line="400" w:lineRule="exact"/>
              <w:ind w:firstLine="0" w:firstLineChars="0"/>
              <w:jc w:val="center"/>
              <w:rPr>
                <w:color w:val="auto"/>
              </w:rPr>
            </w:pPr>
            <w:r>
              <w:rPr>
                <w:rFonts w:ascii="Times New Roman" w:hAnsi="Times New Roman" w:eastAsia="SimSun"/>
                <w:b w:val="0"/>
                <w:color w:val="auto"/>
                <w:sz w:val="21"/>
              </w:rPr>
              <w:t>所属地区（省级行政区）</w:t>
            </w:r>
          </w:p>
        </w:tc>
      </w:tr>
      <w:tr w14:paraId="5308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40E232E5">
            <w:pPr>
              <w:spacing w:after="0" w:line="400" w:lineRule="exact"/>
              <w:ind w:firstLine="0" w:firstLineChars="0"/>
              <w:jc w:val="center"/>
              <w:rPr>
                <w:color w:val="auto"/>
              </w:rPr>
            </w:pPr>
            <w:r>
              <w:rPr>
                <w:rFonts w:ascii="Times New Roman" w:hAnsi="Times New Roman" w:eastAsia="SimSun"/>
                <w:b w:val="0"/>
                <w:color w:val="auto"/>
                <w:sz w:val="21"/>
              </w:rPr>
              <w:t>4</w:t>
            </w:r>
          </w:p>
        </w:tc>
        <w:tc>
          <w:tcPr>
            <w:tcW w:w="2126" w:type="dxa"/>
          </w:tcPr>
          <w:p w14:paraId="44F3B4E5">
            <w:pPr>
              <w:spacing w:after="0" w:line="400" w:lineRule="exact"/>
              <w:ind w:firstLine="0" w:firstLineChars="0"/>
              <w:jc w:val="center"/>
              <w:rPr>
                <w:color w:val="auto"/>
              </w:rPr>
            </w:pPr>
            <w:r>
              <w:rPr>
                <w:rFonts w:ascii="Times New Roman" w:hAnsi="Times New Roman" w:eastAsia="SimSun"/>
                <w:b w:val="0"/>
                <w:color w:val="auto"/>
                <w:sz w:val="21"/>
              </w:rPr>
              <w:t>industry</w:t>
            </w:r>
          </w:p>
        </w:tc>
        <w:tc>
          <w:tcPr>
            <w:tcW w:w="2126" w:type="dxa"/>
          </w:tcPr>
          <w:p w14:paraId="2169401B">
            <w:pPr>
              <w:spacing w:after="0" w:line="400" w:lineRule="exact"/>
              <w:ind w:firstLine="0" w:firstLineChars="0"/>
              <w:jc w:val="center"/>
              <w:rPr>
                <w:color w:val="auto"/>
              </w:rPr>
            </w:pPr>
            <w:r>
              <w:rPr>
                <w:rFonts w:ascii="Times New Roman" w:hAnsi="Times New Roman" w:eastAsia="SimSun"/>
                <w:b w:val="0"/>
                <w:color w:val="auto"/>
                <w:sz w:val="21"/>
              </w:rPr>
              <w:t>字符型</w:t>
            </w:r>
          </w:p>
        </w:tc>
        <w:tc>
          <w:tcPr>
            <w:tcW w:w="2126" w:type="dxa"/>
          </w:tcPr>
          <w:p w14:paraId="166AC632">
            <w:pPr>
              <w:spacing w:after="0" w:line="400" w:lineRule="exact"/>
              <w:ind w:firstLine="0" w:firstLineChars="0"/>
              <w:jc w:val="center"/>
              <w:rPr>
                <w:color w:val="auto"/>
              </w:rPr>
            </w:pPr>
            <w:r>
              <w:rPr>
                <w:rFonts w:ascii="Times New Roman" w:hAnsi="Times New Roman" w:eastAsia="SimSun"/>
                <w:b w:val="0"/>
                <w:color w:val="auto"/>
                <w:sz w:val="21"/>
              </w:rPr>
              <w:t>所属行业分类</w:t>
            </w:r>
          </w:p>
        </w:tc>
      </w:tr>
      <w:tr w14:paraId="446A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21F17FD7">
            <w:pPr>
              <w:spacing w:after="0" w:line="400" w:lineRule="exact"/>
              <w:ind w:firstLine="0" w:firstLineChars="0"/>
              <w:jc w:val="center"/>
              <w:rPr>
                <w:color w:val="auto"/>
              </w:rPr>
            </w:pPr>
            <w:r>
              <w:rPr>
                <w:rFonts w:ascii="Times New Roman" w:hAnsi="Times New Roman" w:eastAsia="SimSun"/>
                <w:b w:val="0"/>
                <w:color w:val="auto"/>
                <w:sz w:val="21"/>
              </w:rPr>
              <w:t>5</w:t>
            </w:r>
          </w:p>
        </w:tc>
        <w:tc>
          <w:tcPr>
            <w:tcW w:w="2126" w:type="dxa"/>
          </w:tcPr>
          <w:p w14:paraId="126343F8">
            <w:pPr>
              <w:spacing w:after="0" w:line="400" w:lineRule="exact"/>
              <w:ind w:firstLine="0" w:firstLineChars="0"/>
              <w:jc w:val="center"/>
              <w:rPr>
                <w:color w:val="auto"/>
              </w:rPr>
            </w:pPr>
            <w:r>
              <w:rPr>
                <w:rFonts w:ascii="Times New Roman" w:hAnsi="Times New Roman" w:eastAsia="SimSun"/>
                <w:b w:val="0"/>
                <w:color w:val="auto"/>
                <w:sz w:val="21"/>
              </w:rPr>
              <w:t>source</w:t>
            </w:r>
          </w:p>
        </w:tc>
        <w:tc>
          <w:tcPr>
            <w:tcW w:w="2126" w:type="dxa"/>
          </w:tcPr>
          <w:p w14:paraId="46DB179B">
            <w:pPr>
              <w:spacing w:after="0" w:line="400" w:lineRule="exact"/>
              <w:ind w:firstLine="0" w:firstLineChars="0"/>
              <w:jc w:val="center"/>
              <w:rPr>
                <w:color w:val="auto"/>
              </w:rPr>
            </w:pPr>
            <w:r>
              <w:rPr>
                <w:rFonts w:ascii="Times New Roman" w:hAnsi="Times New Roman" w:eastAsia="SimSun"/>
                <w:b w:val="0"/>
                <w:color w:val="auto"/>
                <w:sz w:val="21"/>
              </w:rPr>
              <w:t>字符型</w:t>
            </w:r>
          </w:p>
        </w:tc>
        <w:tc>
          <w:tcPr>
            <w:tcW w:w="2126" w:type="dxa"/>
          </w:tcPr>
          <w:p w14:paraId="59C2405A">
            <w:pPr>
              <w:spacing w:after="0" w:line="400" w:lineRule="exact"/>
              <w:ind w:firstLine="0" w:firstLineChars="0"/>
              <w:jc w:val="center"/>
              <w:rPr>
                <w:color w:val="auto"/>
              </w:rPr>
            </w:pPr>
            <w:r>
              <w:rPr>
                <w:rFonts w:ascii="Times New Roman" w:hAnsi="Times New Roman" w:eastAsia="SimSun"/>
                <w:b w:val="0"/>
                <w:color w:val="auto"/>
                <w:sz w:val="21"/>
              </w:rPr>
              <w:t>排放源类型</w:t>
            </w:r>
          </w:p>
        </w:tc>
      </w:tr>
      <w:tr w14:paraId="5678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2EE30A4C">
            <w:pPr>
              <w:spacing w:after="0" w:line="400" w:lineRule="exact"/>
              <w:ind w:firstLine="0" w:firstLineChars="0"/>
              <w:jc w:val="center"/>
              <w:rPr>
                <w:color w:val="auto"/>
              </w:rPr>
            </w:pPr>
            <w:r>
              <w:rPr>
                <w:rFonts w:ascii="Times New Roman" w:hAnsi="Times New Roman" w:eastAsia="SimSun"/>
                <w:b w:val="0"/>
                <w:color w:val="auto"/>
                <w:sz w:val="21"/>
              </w:rPr>
              <w:t>6</w:t>
            </w:r>
          </w:p>
        </w:tc>
        <w:tc>
          <w:tcPr>
            <w:tcW w:w="2126" w:type="dxa"/>
          </w:tcPr>
          <w:p w14:paraId="57C68F02">
            <w:pPr>
              <w:spacing w:after="0" w:line="400" w:lineRule="exact"/>
              <w:ind w:firstLine="0" w:firstLineChars="0"/>
              <w:jc w:val="center"/>
              <w:rPr>
                <w:color w:val="auto"/>
              </w:rPr>
            </w:pPr>
            <w:r>
              <w:rPr>
                <w:rFonts w:ascii="Times New Roman" w:hAnsi="Times New Roman" w:eastAsia="SimSun"/>
                <w:b w:val="0"/>
                <w:color w:val="auto"/>
                <w:sz w:val="21"/>
              </w:rPr>
              <w:t>emission_amount</w:t>
            </w:r>
          </w:p>
        </w:tc>
        <w:tc>
          <w:tcPr>
            <w:tcW w:w="2126" w:type="dxa"/>
          </w:tcPr>
          <w:p w14:paraId="7FF20A88">
            <w:pPr>
              <w:spacing w:after="0" w:line="400" w:lineRule="exact"/>
              <w:ind w:firstLine="0" w:firstLineChars="0"/>
              <w:jc w:val="center"/>
              <w:rPr>
                <w:color w:val="auto"/>
              </w:rPr>
            </w:pPr>
            <w:r>
              <w:rPr>
                <w:rFonts w:ascii="Times New Roman" w:hAnsi="Times New Roman" w:eastAsia="SimSun"/>
                <w:b w:val="0"/>
                <w:color w:val="auto"/>
                <w:sz w:val="21"/>
              </w:rPr>
              <w:t>浮点型</w:t>
            </w:r>
          </w:p>
        </w:tc>
        <w:tc>
          <w:tcPr>
            <w:tcW w:w="2126" w:type="dxa"/>
          </w:tcPr>
          <w:p w14:paraId="345C289A">
            <w:pPr>
              <w:spacing w:after="0" w:line="400" w:lineRule="exact"/>
              <w:ind w:firstLine="0" w:firstLineChars="0"/>
              <w:jc w:val="center"/>
              <w:rPr>
                <w:color w:val="auto"/>
              </w:rPr>
            </w:pPr>
            <w:r>
              <w:rPr>
                <w:rFonts w:ascii="Times New Roman" w:hAnsi="Times New Roman" w:eastAsia="SimSun"/>
                <w:b w:val="0"/>
                <w:color w:val="auto"/>
                <w:sz w:val="21"/>
              </w:rPr>
              <w:t>碳排放量（万吨CO2）</w:t>
            </w:r>
          </w:p>
        </w:tc>
      </w:tr>
      <w:tr w14:paraId="21A7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666DEAC8">
            <w:pPr>
              <w:spacing w:after="0" w:line="400" w:lineRule="exact"/>
              <w:ind w:firstLine="0" w:firstLineChars="0"/>
              <w:jc w:val="center"/>
              <w:rPr>
                <w:color w:val="auto"/>
              </w:rPr>
            </w:pPr>
            <w:r>
              <w:rPr>
                <w:rFonts w:ascii="Times New Roman" w:hAnsi="Times New Roman" w:eastAsia="SimSun"/>
                <w:b w:val="0"/>
                <w:color w:val="auto"/>
                <w:sz w:val="21"/>
              </w:rPr>
              <w:t>7</w:t>
            </w:r>
          </w:p>
        </w:tc>
        <w:tc>
          <w:tcPr>
            <w:tcW w:w="2126" w:type="dxa"/>
          </w:tcPr>
          <w:p w14:paraId="43CA0853">
            <w:pPr>
              <w:spacing w:after="0" w:line="400" w:lineRule="exact"/>
              <w:ind w:firstLine="0" w:firstLineChars="0"/>
              <w:jc w:val="center"/>
              <w:rPr>
                <w:color w:val="auto"/>
              </w:rPr>
            </w:pPr>
            <w:r>
              <w:rPr>
                <w:rFonts w:ascii="Times New Roman" w:hAnsi="Times New Roman" w:eastAsia="SimSun"/>
                <w:b w:val="0"/>
                <w:color w:val="auto"/>
                <w:sz w:val="21"/>
              </w:rPr>
              <w:t>energy_consumption</w:t>
            </w:r>
          </w:p>
        </w:tc>
        <w:tc>
          <w:tcPr>
            <w:tcW w:w="2126" w:type="dxa"/>
          </w:tcPr>
          <w:p w14:paraId="2542AA76">
            <w:pPr>
              <w:spacing w:after="0" w:line="400" w:lineRule="exact"/>
              <w:ind w:firstLine="0" w:firstLineChars="0"/>
              <w:jc w:val="center"/>
              <w:rPr>
                <w:color w:val="auto"/>
              </w:rPr>
            </w:pPr>
            <w:r>
              <w:rPr>
                <w:rFonts w:ascii="Times New Roman" w:hAnsi="Times New Roman" w:eastAsia="SimSun"/>
                <w:b w:val="0"/>
                <w:color w:val="auto"/>
                <w:sz w:val="21"/>
              </w:rPr>
              <w:t>浮点型</w:t>
            </w:r>
          </w:p>
        </w:tc>
        <w:tc>
          <w:tcPr>
            <w:tcW w:w="2126" w:type="dxa"/>
          </w:tcPr>
          <w:p w14:paraId="109D5F09">
            <w:pPr>
              <w:spacing w:after="0" w:line="400" w:lineRule="exact"/>
              <w:ind w:firstLine="0" w:firstLineChars="0"/>
              <w:jc w:val="center"/>
              <w:rPr>
                <w:color w:val="auto"/>
              </w:rPr>
            </w:pPr>
            <w:r>
              <w:rPr>
                <w:rFonts w:ascii="Times New Roman" w:hAnsi="Times New Roman" w:eastAsia="SimSun"/>
                <w:b w:val="0"/>
                <w:color w:val="auto"/>
                <w:sz w:val="21"/>
              </w:rPr>
              <w:t>能源消耗（万吨标准煤）</w:t>
            </w:r>
          </w:p>
        </w:tc>
      </w:tr>
      <w:tr w14:paraId="422F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6EA1E2DC">
            <w:pPr>
              <w:spacing w:after="0" w:line="400" w:lineRule="exact"/>
              <w:ind w:firstLine="0" w:firstLineChars="0"/>
              <w:jc w:val="center"/>
              <w:rPr>
                <w:color w:val="auto"/>
              </w:rPr>
            </w:pPr>
            <w:r>
              <w:rPr>
                <w:rFonts w:ascii="Times New Roman" w:hAnsi="Times New Roman" w:eastAsia="SimSun"/>
                <w:b w:val="0"/>
                <w:color w:val="auto"/>
                <w:sz w:val="21"/>
              </w:rPr>
              <w:t>8</w:t>
            </w:r>
          </w:p>
        </w:tc>
        <w:tc>
          <w:tcPr>
            <w:tcW w:w="2126" w:type="dxa"/>
          </w:tcPr>
          <w:p w14:paraId="0E35107C">
            <w:pPr>
              <w:spacing w:after="0" w:line="400" w:lineRule="exact"/>
              <w:ind w:firstLine="0" w:firstLineChars="0"/>
              <w:jc w:val="center"/>
              <w:rPr>
                <w:color w:val="auto"/>
              </w:rPr>
            </w:pPr>
            <w:r>
              <w:rPr>
                <w:rFonts w:ascii="Times New Roman" w:hAnsi="Times New Roman" w:eastAsia="SimSun"/>
                <w:b w:val="0"/>
                <w:color w:val="auto"/>
                <w:sz w:val="21"/>
              </w:rPr>
              <w:t>gdp</w:t>
            </w:r>
          </w:p>
        </w:tc>
        <w:tc>
          <w:tcPr>
            <w:tcW w:w="2126" w:type="dxa"/>
          </w:tcPr>
          <w:p w14:paraId="3F589FCA">
            <w:pPr>
              <w:spacing w:after="0" w:line="400" w:lineRule="exact"/>
              <w:ind w:firstLine="0" w:firstLineChars="0"/>
              <w:jc w:val="center"/>
              <w:rPr>
                <w:color w:val="auto"/>
              </w:rPr>
            </w:pPr>
            <w:r>
              <w:rPr>
                <w:rFonts w:ascii="Times New Roman" w:hAnsi="Times New Roman" w:eastAsia="SimSun"/>
                <w:b w:val="0"/>
                <w:color w:val="auto"/>
                <w:sz w:val="21"/>
              </w:rPr>
              <w:t>浮点型</w:t>
            </w:r>
          </w:p>
        </w:tc>
        <w:tc>
          <w:tcPr>
            <w:tcW w:w="2126" w:type="dxa"/>
          </w:tcPr>
          <w:p w14:paraId="667BC3F6">
            <w:pPr>
              <w:spacing w:after="0" w:line="400" w:lineRule="exact"/>
              <w:ind w:firstLine="0" w:firstLineChars="0"/>
              <w:jc w:val="center"/>
              <w:rPr>
                <w:color w:val="auto"/>
              </w:rPr>
            </w:pPr>
            <w:r>
              <w:rPr>
                <w:rFonts w:ascii="Times New Roman" w:hAnsi="Times New Roman" w:eastAsia="SimSun"/>
                <w:b w:val="0"/>
                <w:color w:val="auto"/>
                <w:sz w:val="21"/>
              </w:rPr>
              <w:t>地区生产总值（亿元）</w:t>
            </w:r>
          </w:p>
        </w:tc>
      </w:tr>
      <w:tr w14:paraId="2148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51F62A6">
            <w:pPr>
              <w:spacing w:after="0" w:line="400" w:lineRule="exact"/>
              <w:ind w:firstLine="0" w:firstLineChars="0"/>
              <w:jc w:val="center"/>
              <w:rPr>
                <w:color w:val="auto"/>
              </w:rPr>
            </w:pPr>
            <w:r>
              <w:rPr>
                <w:rFonts w:ascii="Times New Roman" w:hAnsi="Times New Roman" w:eastAsia="SimSun"/>
                <w:b w:val="0"/>
                <w:color w:val="auto"/>
                <w:sz w:val="21"/>
              </w:rPr>
              <w:t>9</w:t>
            </w:r>
          </w:p>
        </w:tc>
        <w:tc>
          <w:tcPr>
            <w:tcW w:w="2126" w:type="dxa"/>
          </w:tcPr>
          <w:p w14:paraId="1E06488A">
            <w:pPr>
              <w:spacing w:after="0" w:line="400" w:lineRule="exact"/>
              <w:ind w:firstLine="0" w:firstLineChars="0"/>
              <w:jc w:val="center"/>
              <w:rPr>
                <w:color w:val="auto"/>
              </w:rPr>
            </w:pPr>
            <w:r>
              <w:rPr>
                <w:rFonts w:ascii="Times New Roman" w:hAnsi="Times New Roman" w:eastAsia="SimSun"/>
                <w:b w:val="0"/>
                <w:color w:val="auto"/>
                <w:sz w:val="21"/>
              </w:rPr>
              <w:t>population</w:t>
            </w:r>
          </w:p>
        </w:tc>
        <w:tc>
          <w:tcPr>
            <w:tcW w:w="2126" w:type="dxa"/>
          </w:tcPr>
          <w:p w14:paraId="1B7C8EE5">
            <w:pPr>
              <w:spacing w:after="0" w:line="400" w:lineRule="exact"/>
              <w:ind w:firstLine="0" w:firstLineChars="0"/>
              <w:jc w:val="center"/>
              <w:rPr>
                <w:color w:val="auto"/>
              </w:rPr>
            </w:pPr>
            <w:r>
              <w:rPr>
                <w:rFonts w:ascii="Times New Roman" w:hAnsi="Times New Roman" w:eastAsia="SimSun"/>
                <w:b w:val="0"/>
                <w:color w:val="auto"/>
                <w:sz w:val="21"/>
              </w:rPr>
              <w:t>浮点型</w:t>
            </w:r>
          </w:p>
        </w:tc>
        <w:tc>
          <w:tcPr>
            <w:tcW w:w="2126" w:type="dxa"/>
          </w:tcPr>
          <w:p w14:paraId="164E383E">
            <w:pPr>
              <w:spacing w:after="0" w:line="400" w:lineRule="exact"/>
              <w:ind w:firstLine="0" w:firstLineChars="0"/>
              <w:jc w:val="center"/>
              <w:rPr>
                <w:color w:val="auto"/>
              </w:rPr>
            </w:pPr>
            <w:r>
              <w:rPr>
                <w:rFonts w:ascii="Times New Roman" w:hAnsi="Times New Roman" w:eastAsia="SimSun"/>
                <w:b w:val="0"/>
                <w:color w:val="auto"/>
                <w:sz w:val="21"/>
              </w:rPr>
              <w:t>人口数量（万人）</w:t>
            </w:r>
          </w:p>
        </w:tc>
      </w:tr>
      <w:tr w14:paraId="5531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1327D8AA">
            <w:pPr>
              <w:spacing w:after="0" w:line="400" w:lineRule="exact"/>
              <w:ind w:firstLine="0" w:firstLineChars="0"/>
              <w:jc w:val="center"/>
              <w:rPr>
                <w:color w:val="auto"/>
              </w:rPr>
            </w:pPr>
            <w:r>
              <w:rPr>
                <w:rFonts w:ascii="Times New Roman" w:hAnsi="Times New Roman" w:eastAsia="SimSun"/>
                <w:b w:val="0"/>
                <w:color w:val="auto"/>
                <w:sz w:val="21"/>
              </w:rPr>
              <w:t>10</w:t>
            </w:r>
          </w:p>
        </w:tc>
        <w:tc>
          <w:tcPr>
            <w:tcW w:w="2126" w:type="dxa"/>
          </w:tcPr>
          <w:p w14:paraId="60F959DC">
            <w:pPr>
              <w:spacing w:after="0" w:line="400" w:lineRule="exact"/>
              <w:ind w:firstLine="0" w:firstLineChars="0"/>
              <w:jc w:val="center"/>
              <w:rPr>
                <w:color w:val="auto"/>
              </w:rPr>
            </w:pPr>
            <w:r>
              <w:rPr>
                <w:rFonts w:ascii="Times New Roman" w:hAnsi="Times New Roman" w:eastAsia="SimSun"/>
                <w:b w:val="0"/>
                <w:color w:val="auto"/>
                <w:sz w:val="21"/>
              </w:rPr>
              <w:t>energy_efficiency</w:t>
            </w:r>
          </w:p>
        </w:tc>
        <w:tc>
          <w:tcPr>
            <w:tcW w:w="2126" w:type="dxa"/>
          </w:tcPr>
          <w:p w14:paraId="6A425E15">
            <w:pPr>
              <w:spacing w:after="0" w:line="400" w:lineRule="exact"/>
              <w:ind w:firstLine="0" w:firstLineChars="0"/>
              <w:jc w:val="center"/>
              <w:rPr>
                <w:color w:val="auto"/>
              </w:rPr>
            </w:pPr>
            <w:r>
              <w:rPr>
                <w:rFonts w:ascii="Times New Roman" w:hAnsi="Times New Roman" w:eastAsia="SimSun"/>
                <w:b w:val="0"/>
                <w:color w:val="auto"/>
                <w:sz w:val="21"/>
              </w:rPr>
              <w:t>浮点型</w:t>
            </w:r>
          </w:p>
        </w:tc>
        <w:tc>
          <w:tcPr>
            <w:tcW w:w="2126" w:type="dxa"/>
          </w:tcPr>
          <w:p w14:paraId="29D3F5B4">
            <w:pPr>
              <w:spacing w:after="0" w:line="400" w:lineRule="exact"/>
              <w:ind w:firstLine="0" w:firstLineChars="0"/>
              <w:jc w:val="center"/>
              <w:rPr>
                <w:color w:val="auto"/>
              </w:rPr>
            </w:pPr>
            <w:r>
              <w:rPr>
                <w:rFonts w:ascii="Times New Roman" w:hAnsi="Times New Roman" w:eastAsia="SimSun"/>
                <w:b w:val="0"/>
                <w:color w:val="auto"/>
                <w:sz w:val="21"/>
              </w:rPr>
              <w:t>能源效率（吨CO2/万元GDP）</w:t>
            </w:r>
          </w:p>
        </w:tc>
      </w:tr>
    </w:tbl>
    <w:p w14:paraId="5CB86C3F">
      <w:pPr>
        <w:pStyle w:val="4"/>
        <w:keepNext/>
        <w:keepLines/>
        <w:spacing w:before="312" w:beforeLines="100" w:after="312" w:afterLines="100" w:line="400" w:lineRule="exact"/>
        <w:ind w:firstLine="0" w:firstLineChars="0"/>
        <w:jc w:val="left"/>
        <w:rPr>
          <w:color w:val="auto"/>
        </w:rPr>
      </w:pPr>
      <w:bookmarkStart w:id="20" w:name="_Toc28199"/>
      <w:r>
        <w:rPr>
          <w:rFonts w:ascii="Times New Roman" w:hAnsi="Times New Roman" w:eastAsia="SimSun"/>
          <w:b/>
          <w:color w:val="auto"/>
          <w:sz w:val="28"/>
        </w:rPr>
        <w:t>3.2 数据清洗</w:t>
      </w:r>
      <w:bookmarkEnd w:id="20"/>
    </w:p>
    <w:p w14:paraId="146057DC">
      <w:pPr>
        <w:spacing w:line="400" w:lineRule="exact"/>
        <w:ind w:firstLine="480" w:firstLineChars="200"/>
        <w:jc w:val="both"/>
        <w:rPr>
          <w:color w:val="auto"/>
        </w:rPr>
      </w:pPr>
      <w:r>
        <w:rPr>
          <w:rFonts w:ascii="Times New Roman" w:hAnsi="Times New Roman" w:eastAsia="SimSun"/>
          <w:b w:val="0"/>
          <w:color w:val="auto"/>
          <w:sz w:val="24"/>
        </w:rPr>
        <w:t>原始数据在采集和汇总过程中不可避免地存在数据质量问题，包括字段缺失、数值异常和记录重复等情况。为确保后续分析和预测的准确性，本系统对原始数据进行了系统化的清洗处理。数据清洗流程如图3-1所示，主要包括缺失值处理、异常值检测与修正、重复数据去除三个步骤，最终输出格式统一、质量可靠的清洗数据集。</w:t>
      </w:r>
    </w:p>
    <w:p w14:paraId="161BAE2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2453640" cy="450659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2453640" cy="4506595"/>
                    </a:xfrm>
                    <a:prstGeom prst="rect">
                      <a:avLst/>
                    </a:prstGeom>
                  </pic:spPr>
                </pic:pic>
              </a:graphicData>
            </a:graphic>
          </wp:inline>
        </w:drawing>
      </w:r>
    </w:p>
    <w:p w14:paraId="6BA5F05E">
      <w:pPr>
        <w:spacing w:line="400" w:lineRule="exact"/>
        <w:rPr>
          <w:color w:val="auto"/>
        </w:rPr>
      </w:pPr>
    </w:p>
    <w:p w14:paraId="46021162">
      <w:pPr>
        <w:spacing w:line="400" w:lineRule="exact"/>
        <w:ind w:firstLine="0" w:firstLineChars="0"/>
        <w:jc w:val="center"/>
        <w:rPr>
          <w:color w:val="auto"/>
        </w:rPr>
      </w:pPr>
      <w:r>
        <w:rPr>
          <w:rFonts w:ascii="Times New Roman" w:hAnsi="Times New Roman" w:eastAsia="KaiTi"/>
          <w:b w:val="0"/>
          <w:color w:val="auto"/>
          <w:sz w:val="21"/>
        </w:rPr>
        <w:t>图3-1 数据清洗流程图</w:t>
      </w:r>
    </w:p>
    <w:p w14:paraId="2426C636">
      <w:pPr>
        <w:pStyle w:val="5"/>
        <w:keepNext/>
        <w:keepLines/>
        <w:spacing w:before="156" w:beforeLines="50" w:after="156" w:afterLines="50" w:line="400" w:lineRule="exact"/>
        <w:ind w:firstLine="0" w:firstLineChars="0"/>
        <w:jc w:val="left"/>
        <w:rPr>
          <w:color w:val="auto"/>
        </w:rPr>
      </w:pPr>
      <w:bookmarkStart w:id="21" w:name="_Toc5081"/>
      <w:r>
        <w:rPr>
          <w:rFonts w:ascii="Times New Roman" w:hAnsi="Times New Roman" w:eastAsia="SimSun"/>
          <w:b/>
          <w:color w:val="auto"/>
          <w:sz w:val="24"/>
        </w:rPr>
        <w:t>3.2.1 缺失值处理</w:t>
      </w:r>
      <w:bookmarkEnd w:id="21"/>
    </w:p>
    <w:p w14:paraId="5241EF3F">
      <w:pPr>
        <w:spacing w:line="400" w:lineRule="exact"/>
        <w:ind w:firstLine="480" w:firstLineChars="200"/>
        <w:jc w:val="both"/>
        <w:rPr>
          <w:color w:val="auto"/>
        </w:rPr>
      </w:pPr>
      <w:r>
        <w:rPr>
          <w:rFonts w:ascii="Times New Roman" w:hAnsi="Times New Roman" w:eastAsia="SimSun"/>
          <w:b w:val="0"/>
          <w:color w:val="auto"/>
          <w:sz w:val="24"/>
        </w:rPr>
        <w:t>缺失值是数据清洗中最常见的质量问题之一。缺失值的产生原因多样，包括数据采集设备故障、人工录入遗漏、数据传输过程中的丢包以及不同统计口径导致的字段对应缺失等。本系统对原始数据集中各字段的缺失情况进行了全面检测，发现排放量字段缺失率为3.2%，能源消耗字段缺失率为4.5%，GDP字段缺失率为2.1%，人口字段缺失率为1.8%，能源效率字段缺失率为5.6%。其中能源效率字段的缺失率最高，主要原因在于部分地区和行业在早期统计年份尚未建立完善的能源效率核算体系。针对不同字段的缺失特征，本系统采用了均值填充与中位数填充相结合的策略进行处理。对于排放量、能源消耗等数值分布较为均匀的字段，使用同地区、同行业、同年份的均值进行填充，这种分组填充策略充分考虑了地域和行业差异，避免了简单全局均值填充可能引入的偏差；对于能源效率等存在偏态分布的字段，使用中位数进行填充，以避免极端值对填充结果的影响。在填充过程中，系统还会记录每个被填充值的原始缺失标记，以便后续在分析结果中标注数据的可信度等级。</w:t>
      </w:r>
    </w:p>
    <w:p w14:paraId="6942DB23">
      <w:pPr>
        <w:spacing w:line="400" w:lineRule="exact"/>
        <w:ind w:firstLine="480" w:firstLineChars="200"/>
        <w:jc w:val="both"/>
        <w:rPr>
          <w:color w:val="auto"/>
        </w:rPr>
      </w:pPr>
      <w:r>
        <w:rPr>
          <w:rFonts w:ascii="Times New Roman" w:hAnsi="Times New Roman" w:eastAsia="SimSun"/>
          <w:b w:val="0"/>
          <w:color w:val="auto"/>
          <w:sz w:val="24"/>
        </w:rPr>
        <w:t>缺失值处理前后各字段的缺失率对比如图3-2所示，清洗后的数据统计结果如表3-2所示。经过填充处理后，所有字段的缺失率均降至0%，保证了数据集的完整性。为了验证填充效果的合理性，系统还对填充前后各字段的均值、标准差和分位数分布进行了对比分析，结果表明填充操作未显著改变数据的整体统计特征，填充策略是有效和可靠的。</w:t>
      </w:r>
    </w:p>
    <w:p w14:paraId="499A421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5039995" cy="217932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040000" cy="2179689"/>
                    </a:xfrm>
                    <a:prstGeom prst="rect">
                      <a:avLst/>
                    </a:prstGeom>
                  </pic:spPr>
                </pic:pic>
              </a:graphicData>
            </a:graphic>
          </wp:inline>
        </w:drawing>
      </w:r>
    </w:p>
    <w:p w14:paraId="324A674B">
      <w:pPr>
        <w:spacing w:line="400" w:lineRule="exact"/>
        <w:rPr>
          <w:color w:val="auto"/>
        </w:rPr>
      </w:pPr>
    </w:p>
    <w:p w14:paraId="4BE0BFCA">
      <w:pPr>
        <w:spacing w:line="400" w:lineRule="exact"/>
        <w:ind w:firstLine="0" w:firstLineChars="0"/>
        <w:jc w:val="center"/>
        <w:rPr>
          <w:color w:val="auto"/>
        </w:rPr>
      </w:pPr>
      <w:r>
        <w:rPr>
          <w:rFonts w:ascii="Times New Roman" w:hAnsi="Times New Roman" w:eastAsia="KaiTi"/>
          <w:b w:val="0"/>
          <w:color w:val="auto"/>
          <w:sz w:val="21"/>
        </w:rPr>
        <w:t>图3-2 缺失值处理前后对比</w:t>
      </w:r>
    </w:p>
    <w:p w14:paraId="15AB93B5">
      <w:pPr>
        <w:spacing w:line="400" w:lineRule="exact"/>
        <w:rPr>
          <w:color w:val="auto"/>
        </w:rPr>
      </w:pPr>
    </w:p>
    <w:p w14:paraId="08361C7D">
      <w:pPr>
        <w:spacing w:line="400" w:lineRule="exact"/>
        <w:ind w:firstLine="0" w:firstLineChars="0"/>
        <w:jc w:val="center"/>
        <w:rPr>
          <w:color w:val="auto"/>
        </w:rPr>
      </w:pPr>
      <w:r>
        <w:rPr>
          <w:rFonts w:ascii="Times New Roman" w:hAnsi="Times New Roman" w:eastAsia="KaiTi"/>
          <w:b w:val="0"/>
          <w:color w:val="auto"/>
          <w:sz w:val="21"/>
        </w:rPr>
        <w:t>表3-2 缺失值处理结果统计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1352"/>
        <w:gridCol w:w="1345"/>
        <w:gridCol w:w="1355"/>
        <w:gridCol w:w="1336"/>
        <w:gridCol w:w="1355"/>
      </w:tblGrid>
      <w:tr w14:paraId="642D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2F959E3">
            <w:pPr>
              <w:spacing w:after="0" w:line="400" w:lineRule="exact"/>
              <w:ind w:firstLine="0" w:firstLineChars="0"/>
              <w:jc w:val="center"/>
              <w:rPr>
                <w:color w:val="auto"/>
              </w:rPr>
            </w:pPr>
            <w:r>
              <w:rPr>
                <w:rFonts w:ascii="Times New Roman" w:hAnsi="Times New Roman" w:eastAsia="SimSun"/>
                <w:b w:val="0"/>
                <w:color w:val="auto"/>
                <w:sz w:val="21"/>
              </w:rPr>
              <w:t>字段名称</w:t>
            </w:r>
          </w:p>
        </w:tc>
        <w:tc>
          <w:tcPr>
            <w:tcW w:w="1417" w:type="dxa"/>
          </w:tcPr>
          <w:p w14:paraId="0172C8FA">
            <w:pPr>
              <w:spacing w:after="0" w:line="400" w:lineRule="exact"/>
              <w:ind w:firstLine="0" w:firstLineChars="0"/>
              <w:jc w:val="center"/>
              <w:rPr>
                <w:color w:val="auto"/>
              </w:rPr>
            </w:pPr>
            <w:r>
              <w:rPr>
                <w:rFonts w:ascii="Times New Roman" w:hAnsi="Times New Roman" w:eastAsia="SimSun"/>
                <w:b w:val="0"/>
                <w:color w:val="auto"/>
                <w:sz w:val="21"/>
              </w:rPr>
              <w:t>清洗前记录数</w:t>
            </w:r>
          </w:p>
        </w:tc>
        <w:tc>
          <w:tcPr>
            <w:tcW w:w="1417" w:type="dxa"/>
          </w:tcPr>
          <w:p w14:paraId="0B6838FA">
            <w:pPr>
              <w:spacing w:after="0" w:line="400" w:lineRule="exact"/>
              <w:ind w:firstLine="0" w:firstLineChars="0"/>
              <w:jc w:val="center"/>
              <w:rPr>
                <w:color w:val="auto"/>
              </w:rPr>
            </w:pPr>
            <w:r>
              <w:rPr>
                <w:rFonts w:ascii="Times New Roman" w:hAnsi="Times New Roman" w:eastAsia="SimSun"/>
                <w:b w:val="0"/>
                <w:color w:val="auto"/>
                <w:sz w:val="21"/>
              </w:rPr>
              <w:t>缺失数</w:t>
            </w:r>
          </w:p>
        </w:tc>
        <w:tc>
          <w:tcPr>
            <w:tcW w:w="1417" w:type="dxa"/>
          </w:tcPr>
          <w:p w14:paraId="70C500D0">
            <w:pPr>
              <w:spacing w:after="0" w:line="400" w:lineRule="exact"/>
              <w:ind w:firstLine="0" w:firstLineChars="0"/>
              <w:jc w:val="center"/>
              <w:rPr>
                <w:color w:val="auto"/>
              </w:rPr>
            </w:pPr>
            <w:r>
              <w:rPr>
                <w:rFonts w:ascii="Times New Roman" w:hAnsi="Times New Roman" w:eastAsia="SimSun"/>
                <w:b w:val="0"/>
                <w:color w:val="auto"/>
                <w:sz w:val="21"/>
              </w:rPr>
              <w:t>缺失率</w:t>
            </w:r>
          </w:p>
        </w:tc>
        <w:tc>
          <w:tcPr>
            <w:tcW w:w="1417" w:type="dxa"/>
          </w:tcPr>
          <w:p w14:paraId="5C796B21">
            <w:pPr>
              <w:spacing w:after="0" w:line="400" w:lineRule="exact"/>
              <w:ind w:firstLine="0" w:firstLineChars="0"/>
              <w:jc w:val="center"/>
              <w:rPr>
                <w:color w:val="auto"/>
              </w:rPr>
            </w:pPr>
            <w:r>
              <w:rPr>
                <w:rFonts w:ascii="Times New Roman" w:hAnsi="Times New Roman" w:eastAsia="SimSun"/>
                <w:b w:val="0"/>
                <w:color w:val="auto"/>
                <w:sz w:val="21"/>
              </w:rPr>
              <w:t>填充方法</w:t>
            </w:r>
          </w:p>
        </w:tc>
        <w:tc>
          <w:tcPr>
            <w:tcW w:w="1417" w:type="dxa"/>
          </w:tcPr>
          <w:p w14:paraId="7D44AEAC">
            <w:pPr>
              <w:spacing w:after="0" w:line="400" w:lineRule="exact"/>
              <w:ind w:firstLine="0" w:firstLineChars="0"/>
              <w:jc w:val="center"/>
              <w:rPr>
                <w:color w:val="auto"/>
              </w:rPr>
            </w:pPr>
            <w:r>
              <w:rPr>
                <w:rFonts w:ascii="Times New Roman" w:hAnsi="Times New Roman" w:eastAsia="SimSun"/>
                <w:b w:val="0"/>
                <w:color w:val="auto"/>
                <w:sz w:val="21"/>
              </w:rPr>
              <w:t>清洗后缺失率</w:t>
            </w:r>
          </w:p>
        </w:tc>
      </w:tr>
      <w:tr w14:paraId="6499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730A50F">
            <w:pPr>
              <w:spacing w:after="0" w:line="400" w:lineRule="exact"/>
              <w:ind w:firstLine="0" w:firstLineChars="0"/>
              <w:jc w:val="center"/>
              <w:rPr>
                <w:color w:val="auto"/>
              </w:rPr>
            </w:pPr>
            <w:r>
              <w:rPr>
                <w:rFonts w:ascii="Times New Roman" w:hAnsi="Times New Roman" w:eastAsia="SimSun"/>
                <w:b w:val="0"/>
                <w:color w:val="auto"/>
                <w:sz w:val="21"/>
              </w:rPr>
              <w:t>emission_amount</w:t>
            </w:r>
          </w:p>
        </w:tc>
        <w:tc>
          <w:tcPr>
            <w:tcW w:w="1417" w:type="dxa"/>
          </w:tcPr>
          <w:p w14:paraId="08413D24">
            <w:pPr>
              <w:spacing w:after="0" w:line="400" w:lineRule="exact"/>
              <w:ind w:firstLine="0" w:firstLineChars="0"/>
              <w:jc w:val="center"/>
              <w:rPr>
                <w:color w:val="auto"/>
              </w:rPr>
            </w:pPr>
            <w:r>
              <w:rPr>
                <w:rFonts w:ascii="Times New Roman" w:hAnsi="Times New Roman" w:eastAsia="SimSun"/>
                <w:b w:val="0"/>
                <w:color w:val="auto"/>
                <w:sz w:val="21"/>
              </w:rPr>
              <w:t>5420</w:t>
            </w:r>
          </w:p>
        </w:tc>
        <w:tc>
          <w:tcPr>
            <w:tcW w:w="1417" w:type="dxa"/>
          </w:tcPr>
          <w:p w14:paraId="622D17BC">
            <w:pPr>
              <w:spacing w:after="0" w:line="400" w:lineRule="exact"/>
              <w:ind w:firstLine="0" w:firstLineChars="0"/>
              <w:jc w:val="center"/>
              <w:rPr>
                <w:color w:val="auto"/>
              </w:rPr>
            </w:pPr>
            <w:r>
              <w:rPr>
                <w:rFonts w:ascii="Times New Roman" w:hAnsi="Times New Roman" w:eastAsia="SimSun"/>
                <w:b w:val="0"/>
                <w:color w:val="auto"/>
                <w:sz w:val="21"/>
              </w:rPr>
              <w:t>173</w:t>
            </w:r>
          </w:p>
        </w:tc>
        <w:tc>
          <w:tcPr>
            <w:tcW w:w="1417" w:type="dxa"/>
          </w:tcPr>
          <w:p w14:paraId="1B0442F8">
            <w:pPr>
              <w:spacing w:after="0" w:line="400" w:lineRule="exact"/>
              <w:ind w:firstLine="0" w:firstLineChars="0"/>
              <w:jc w:val="center"/>
              <w:rPr>
                <w:color w:val="auto"/>
              </w:rPr>
            </w:pPr>
            <w:r>
              <w:rPr>
                <w:rFonts w:ascii="Times New Roman" w:hAnsi="Times New Roman" w:eastAsia="SimSun"/>
                <w:b w:val="0"/>
                <w:color w:val="auto"/>
                <w:sz w:val="21"/>
              </w:rPr>
              <w:t>3.2%</w:t>
            </w:r>
          </w:p>
        </w:tc>
        <w:tc>
          <w:tcPr>
            <w:tcW w:w="1417" w:type="dxa"/>
          </w:tcPr>
          <w:p w14:paraId="27B25075">
            <w:pPr>
              <w:spacing w:after="0" w:line="400" w:lineRule="exact"/>
              <w:ind w:firstLine="0" w:firstLineChars="0"/>
              <w:jc w:val="center"/>
              <w:rPr>
                <w:color w:val="auto"/>
              </w:rPr>
            </w:pPr>
            <w:r>
              <w:rPr>
                <w:rFonts w:ascii="Times New Roman" w:hAnsi="Times New Roman" w:eastAsia="SimSun"/>
                <w:b w:val="0"/>
                <w:color w:val="auto"/>
                <w:sz w:val="21"/>
              </w:rPr>
              <w:t>均值填充</w:t>
            </w:r>
          </w:p>
        </w:tc>
        <w:tc>
          <w:tcPr>
            <w:tcW w:w="1417" w:type="dxa"/>
          </w:tcPr>
          <w:p w14:paraId="676AD226">
            <w:pPr>
              <w:spacing w:after="0" w:line="400" w:lineRule="exact"/>
              <w:ind w:firstLine="0" w:firstLineChars="0"/>
              <w:jc w:val="center"/>
              <w:rPr>
                <w:color w:val="auto"/>
              </w:rPr>
            </w:pPr>
            <w:r>
              <w:rPr>
                <w:rFonts w:ascii="Times New Roman" w:hAnsi="Times New Roman" w:eastAsia="SimSun"/>
                <w:b w:val="0"/>
                <w:color w:val="auto"/>
                <w:sz w:val="21"/>
              </w:rPr>
              <w:t>0.0%</w:t>
            </w:r>
          </w:p>
        </w:tc>
      </w:tr>
      <w:tr w14:paraId="275E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99A8E95">
            <w:pPr>
              <w:spacing w:after="0" w:line="400" w:lineRule="exact"/>
              <w:ind w:firstLine="0" w:firstLineChars="0"/>
              <w:jc w:val="center"/>
              <w:rPr>
                <w:color w:val="auto"/>
              </w:rPr>
            </w:pPr>
            <w:r>
              <w:rPr>
                <w:rFonts w:ascii="Times New Roman" w:hAnsi="Times New Roman" w:eastAsia="SimSun"/>
                <w:b w:val="0"/>
                <w:color w:val="auto"/>
                <w:sz w:val="21"/>
              </w:rPr>
              <w:t>energy_consumption</w:t>
            </w:r>
          </w:p>
        </w:tc>
        <w:tc>
          <w:tcPr>
            <w:tcW w:w="1417" w:type="dxa"/>
          </w:tcPr>
          <w:p w14:paraId="4A70C3A2">
            <w:pPr>
              <w:spacing w:after="0" w:line="400" w:lineRule="exact"/>
              <w:ind w:firstLine="0" w:firstLineChars="0"/>
              <w:jc w:val="center"/>
              <w:rPr>
                <w:color w:val="auto"/>
              </w:rPr>
            </w:pPr>
            <w:r>
              <w:rPr>
                <w:rFonts w:ascii="Times New Roman" w:hAnsi="Times New Roman" w:eastAsia="SimSun"/>
                <w:b w:val="0"/>
                <w:color w:val="auto"/>
                <w:sz w:val="21"/>
              </w:rPr>
              <w:t>5420</w:t>
            </w:r>
          </w:p>
        </w:tc>
        <w:tc>
          <w:tcPr>
            <w:tcW w:w="1417" w:type="dxa"/>
          </w:tcPr>
          <w:p w14:paraId="01BFF2A3">
            <w:pPr>
              <w:spacing w:after="0" w:line="400" w:lineRule="exact"/>
              <w:ind w:firstLine="0" w:firstLineChars="0"/>
              <w:jc w:val="center"/>
              <w:rPr>
                <w:color w:val="auto"/>
              </w:rPr>
            </w:pPr>
            <w:r>
              <w:rPr>
                <w:rFonts w:ascii="Times New Roman" w:hAnsi="Times New Roman" w:eastAsia="SimSun"/>
                <w:b w:val="0"/>
                <w:color w:val="auto"/>
                <w:sz w:val="21"/>
              </w:rPr>
              <w:t>244</w:t>
            </w:r>
          </w:p>
        </w:tc>
        <w:tc>
          <w:tcPr>
            <w:tcW w:w="1417" w:type="dxa"/>
          </w:tcPr>
          <w:p w14:paraId="39338062">
            <w:pPr>
              <w:spacing w:after="0" w:line="400" w:lineRule="exact"/>
              <w:ind w:firstLine="0" w:firstLineChars="0"/>
              <w:jc w:val="center"/>
              <w:rPr>
                <w:color w:val="auto"/>
              </w:rPr>
            </w:pPr>
            <w:r>
              <w:rPr>
                <w:rFonts w:ascii="Times New Roman" w:hAnsi="Times New Roman" w:eastAsia="SimSun"/>
                <w:b w:val="0"/>
                <w:color w:val="auto"/>
                <w:sz w:val="21"/>
              </w:rPr>
              <w:t>4.5%</w:t>
            </w:r>
          </w:p>
        </w:tc>
        <w:tc>
          <w:tcPr>
            <w:tcW w:w="1417" w:type="dxa"/>
          </w:tcPr>
          <w:p w14:paraId="77F35261">
            <w:pPr>
              <w:spacing w:after="0" w:line="400" w:lineRule="exact"/>
              <w:ind w:firstLine="0" w:firstLineChars="0"/>
              <w:jc w:val="center"/>
              <w:rPr>
                <w:color w:val="auto"/>
              </w:rPr>
            </w:pPr>
            <w:r>
              <w:rPr>
                <w:rFonts w:ascii="Times New Roman" w:hAnsi="Times New Roman" w:eastAsia="SimSun"/>
                <w:b w:val="0"/>
                <w:color w:val="auto"/>
                <w:sz w:val="21"/>
              </w:rPr>
              <w:t>均值填充</w:t>
            </w:r>
          </w:p>
        </w:tc>
        <w:tc>
          <w:tcPr>
            <w:tcW w:w="1417" w:type="dxa"/>
          </w:tcPr>
          <w:p w14:paraId="66686117">
            <w:pPr>
              <w:spacing w:after="0" w:line="400" w:lineRule="exact"/>
              <w:ind w:firstLine="0" w:firstLineChars="0"/>
              <w:jc w:val="center"/>
              <w:rPr>
                <w:color w:val="auto"/>
              </w:rPr>
            </w:pPr>
            <w:r>
              <w:rPr>
                <w:rFonts w:ascii="Times New Roman" w:hAnsi="Times New Roman" w:eastAsia="SimSun"/>
                <w:b w:val="0"/>
                <w:color w:val="auto"/>
                <w:sz w:val="21"/>
              </w:rPr>
              <w:t>0.0%</w:t>
            </w:r>
          </w:p>
        </w:tc>
      </w:tr>
      <w:tr w14:paraId="0925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5A7D15B">
            <w:pPr>
              <w:spacing w:after="0" w:line="400" w:lineRule="exact"/>
              <w:ind w:firstLine="0" w:firstLineChars="0"/>
              <w:jc w:val="center"/>
              <w:rPr>
                <w:color w:val="auto"/>
              </w:rPr>
            </w:pPr>
            <w:r>
              <w:rPr>
                <w:rFonts w:ascii="Times New Roman" w:hAnsi="Times New Roman" w:eastAsia="SimSun"/>
                <w:b w:val="0"/>
                <w:color w:val="auto"/>
                <w:sz w:val="21"/>
              </w:rPr>
              <w:t>gdp</w:t>
            </w:r>
          </w:p>
        </w:tc>
        <w:tc>
          <w:tcPr>
            <w:tcW w:w="1417" w:type="dxa"/>
          </w:tcPr>
          <w:p w14:paraId="7AB120C9">
            <w:pPr>
              <w:spacing w:after="0" w:line="400" w:lineRule="exact"/>
              <w:ind w:firstLine="0" w:firstLineChars="0"/>
              <w:jc w:val="center"/>
              <w:rPr>
                <w:color w:val="auto"/>
              </w:rPr>
            </w:pPr>
            <w:r>
              <w:rPr>
                <w:rFonts w:ascii="Times New Roman" w:hAnsi="Times New Roman" w:eastAsia="SimSun"/>
                <w:b w:val="0"/>
                <w:color w:val="auto"/>
                <w:sz w:val="21"/>
              </w:rPr>
              <w:t>5420</w:t>
            </w:r>
          </w:p>
        </w:tc>
        <w:tc>
          <w:tcPr>
            <w:tcW w:w="1417" w:type="dxa"/>
          </w:tcPr>
          <w:p w14:paraId="6CE5F665">
            <w:pPr>
              <w:spacing w:after="0" w:line="400" w:lineRule="exact"/>
              <w:ind w:firstLine="0" w:firstLineChars="0"/>
              <w:jc w:val="center"/>
              <w:rPr>
                <w:color w:val="auto"/>
              </w:rPr>
            </w:pPr>
            <w:r>
              <w:rPr>
                <w:rFonts w:ascii="Times New Roman" w:hAnsi="Times New Roman" w:eastAsia="SimSun"/>
                <w:b w:val="0"/>
                <w:color w:val="auto"/>
                <w:sz w:val="21"/>
              </w:rPr>
              <w:t>114</w:t>
            </w:r>
          </w:p>
        </w:tc>
        <w:tc>
          <w:tcPr>
            <w:tcW w:w="1417" w:type="dxa"/>
          </w:tcPr>
          <w:p w14:paraId="6A1779A6">
            <w:pPr>
              <w:spacing w:after="0" w:line="400" w:lineRule="exact"/>
              <w:ind w:firstLine="0" w:firstLineChars="0"/>
              <w:jc w:val="center"/>
              <w:rPr>
                <w:color w:val="auto"/>
              </w:rPr>
            </w:pPr>
            <w:r>
              <w:rPr>
                <w:rFonts w:ascii="Times New Roman" w:hAnsi="Times New Roman" w:eastAsia="SimSun"/>
                <w:b w:val="0"/>
                <w:color w:val="auto"/>
                <w:sz w:val="21"/>
              </w:rPr>
              <w:t>2.1%</w:t>
            </w:r>
          </w:p>
        </w:tc>
        <w:tc>
          <w:tcPr>
            <w:tcW w:w="1417" w:type="dxa"/>
          </w:tcPr>
          <w:p w14:paraId="472E2108">
            <w:pPr>
              <w:spacing w:after="0" w:line="400" w:lineRule="exact"/>
              <w:ind w:firstLine="0" w:firstLineChars="0"/>
              <w:jc w:val="center"/>
              <w:rPr>
                <w:color w:val="auto"/>
              </w:rPr>
            </w:pPr>
            <w:r>
              <w:rPr>
                <w:rFonts w:ascii="Times New Roman" w:hAnsi="Times New Roman" w:eastAsia="SimSun"/>
                <w:b w:val="0"/>
                <w:color w:val="auto"/>
                <w:sz w:val="21"/>
              </w:rPr>
              <w:t>均值填充</w:t>
            </w:r>
          </w:p>
        </w:tc>
        <w:tc>
          <w:tcPr>
            <w:tcW w:w="1417" w:type="dxa"/>
          </w:tcPr>
          <w:p w14:paraId="7B25AA7D">
            <w:pPr>
              <w:spacing w:after="0" w:line="400" w:lineRule="exact"/>
              <w:ind w:firstLine="0" w:firstLineChars="0"/>
              <w:jc w:val="center"/>
              <w:rPr>
                <w:color w:val="auto"/>
              </w:rPr>
            </w:pPr>
            <w:r>
              <w:rPr>
                <w:rFonts w:ascii="Times New Roman" w:hAnsi="Times New Roman" w:eastAsia="SimSun"/>
                <w:b w:val="0"/>
                <w:color w:val="auto"/>
                <w:sz w:val="21"/>
              </w:rPr>
              <w:t>0.0%</w:t>
            </w:r>
          </w:p>
        </w:tc>
      </w:tr>
      <w:tr w14:paraId="041D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C752118">
            <w:pPr>
              <w:spacing w:after="0" w:line="400" w:lineRule="exact"/>
              <w:ind w:firstLine="0" w:firstLineChars="0"/>
              <w:jc w:val="center"/>
              <w:rPr>
                <w:color w:val="auto"/>
              </w:rPr>
            </w:pPr>
            <w:r>
              <w:rPr>
                <w:rFonts w:ascii="Times New Roman" w:hAnsi="Times New Roman" w:eastAsia="SimSun"/>
                <w:b w:val="0"/>
                <w:color w:val="auto"/>
                <w:sz w:val="21"/>
              </w:rPr>
              <w:t>population</w:t>
            </w:r>
          </w:p>
        </w:tc>
        <w:tc>
          <w:tcPr>
            <w:tcW w:w="1417" w:type="dxa"/>
          </w:tcPr>
          <w:p w14:paraId="4E05D8E4">
            <w:pPr>
              <w:spacing w:after="0" w:line="400" w:lineRule="exact"/>
              <w:ind w:firstLine="0" w:firstLineChars="0"/>
              <w:jc w:val="center"/>
              <w:rPr>
                <w:color w:val="auto"/>
              </w:rPr>
            </w:pPr>
            <w:r>
              <w:rPr>
                <w:rFonts w:ascii="Times New Roman" w:hAnsi="Times New Roman" w:eastAsia="SimSun"/>
                <w:b w:val="0"/>
                <w:color w:val="auto"/>
                <w:sz w:val="21"/>
              </w:rPr>
              <w:t>5420</w:t>
            </w:r>
          </w:p>
        </w:tc>
        <w:tc>
          <w:tcPr>
            <w:tcW w:w="1417" w:type="dxa"/>
          </w:tcPr>
          <w:p w14:paraId="5642AF38">
            <w:pPr>
              <w:spacing w:after="0" w:line="400" w:lineRule="exact"/>
              <w:ind w:firstLine="0" w:firstLineChars="0"/>
              <w:jc w:val="center"/>
              <w:rPr>
                <w:color w:val="auto"/>
              </w:rPr>
            </w:pPr>
            <w:r>
              <w:rPr>
                <w:rFonts w:ascii="Times New Roman" w:hAnsi="Times New Roman" w:eastAsia="SimSun"/>
                <w:b w:val="0"/>
                <w:color w:val="auto"/>
                <w:sz w:val="21"/>
              </w:rPr>
              <w:t>98</w:t>
            </w:r>
          </w:p>
        </w:tc>
        <w:tc>
          <w:tcPr>
            <w:tcW w:w="1417" w:type="dxa"/>
          </w:tcPr>
          <w:p w14:paraId="5E198708">
            <w:pPr>
              <w:spacing w:after="0" w:line="400" w:lineRule="exact"/>
              <w:ind w:firstLine="0" w:firstLineChars="0"/>
              <w:jc w:val="center"/>
              <w:rPr>
                <w:color w:val="auto"/>
              </w:rPr>
            </w:pPr>
            <w:r>
              <w:rPr>
                <w:rFonts w:ascii="Times New Roman" w:hAnsi="Times New Roman" w:eastAsia="SimSun"/>
                <w:b w:val="0"/>
                <w:color w:val="auto"/>
                <w:sz w:val="21"/>
              </w:rPr>
              <w:t>1.8%</w:t>
            </w:r>
          </w:p>
        </w:tc>
        <w:tc>
          <w:tcPr>
            <w:tcW w:w="1417" w:type="dxa"/>
          </w:tcPr>
          <w:p w14:paraId="4088A2A2">
            <w:pPr>
              <w:spacing w:after="0" w:line="400" w:lineRule="exact"/>
              <w:ind w:firstLine="0" w:firstLineChars="0"/>
              <w:jc w:val="center"/>
              <w:rPr>
                <w:color w:val="auto"/>
              </w:rPr>
            </w:pPr>
            <w:r>
              <w:rPr>
                <w:rFonts w:ascii="Times New Roman" w:hAnsi="Times New Roman" w:eastAsia="SimSun"/>
                <w:b w:val="0"/>
                <w:color w:val="auto"/>
                <w:sz w:val="21"/>
              </w:rPr>
              <w:t>均值填充</w:t>
            </w:r>
          </w:p>
        </w:tc>
        <w:tc>
          <w:tcPr>
            <w:tcW w:w="1417" w:type="dxa"/>
          </w:tcPr>
          <w:p w14:paraId="73B65355">
            <w:pPr>
              <w:spacing w:after="0" w:line="400" w:lineRule="exact"/>
              <w:ind w:firstLine="0" w:firstLineChars="0"/>
              <w:jc w:val="center"/>
              <w:rPr>
                <w:color w:val="auto"/>
              </w:rPr>
            </w:pPr>
            <w:r>
              <w:rPr>
                <w:rFonts w:ascii="Times New Roman" w:hAnsi="Times New Roman" w:eastAsia="SimSun"/>
                <w:b w:val="0"/>
                <w:color w:val="auto"/>
                <w:sz w:val="21"/>
              </w:rPr>
              <w:t>0.0%</w:t>
            </w:r>
          </w:p>
        </w:tc>
      </w:tr>
      <w:tr w14:paraId="040D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3619F36">
            <w:pPr>
              <w:spacing w:after="0" w:line="400" w:lineRule="exact"/>
              <w:ind w:firstLine="0" w:firstLineChars="0"/>
              <w:jc w:val="center"/>
              <w:rPr>
                <w:color w:val="auto"/>
              </w:rPr>
            </w:pPr>
            <w:r>
              <w:rPr>
                <w:rFonts w:ascii="Times New Roman" w:hAnsi="Times New Roman" w:eastAsia="SimSun"/>
                <w:b w:val="0"/>
                <w:color w:val="auto"/>
                <w:sz w:val="21"/>
              </w:rPr>
              <w:t>energy_efficiency</w:t>
            </w:r>
          </w:p>
        </w:tc>
        <w:tc>
          <w:tcPr>
            <w:tcW w:w="1417" w:type="dxa"/>
          </w:tcPr>
          <w:p w14:paraId="39DC4FBD">
            <w:pPr>
              <w:spacing w:after="0" w:line="400" w:lineRule="exact"/>
              <w:ind w:firstLine="0" w:firstLineChars="0"/>
              <w:jc w:val="center"/>
              <w:rPr>
                <w:color w:val="auto"/>
              </w:rPr>
            </w:pPr>
            <w:r>
              <w:rPr>
                <w:rFonts w:ascii="Times New Roman" w:hAnsi="Times New Roman" w:eastAsia="SimSun"/>
                <w:b w:val="0"/>
                <w:color w:val="auto"/>
                <w:sz w:val="21"/>
              </w:rPr>
              <w:t>5420</w:t>
            </w:r>
          </w:p>
        </w:tc>
        <w:tc>
          <w:tcPr>
            <w:tcW w:w="1417" w:type="dxa"/>
          </w:tcPr>
          <w:p w14:paraId="6013F418">
            <w:pPr>
              <w:spacing w:after="0" w:line="400" w:lineRule="exact"/>
              <w:ind w:firstLine="0" w:firstLineChars="0"/>
              <w:jc w:val="center"/>
              <w:rPr>
                <w:color w:val="auto"/>
              </w:rPr>
            </w:pPr>
            <w:r>
              <w:rPr>
                <w:rFonts w:ascii="Times New Roman" w:hAnsi="Times New Roman" w:eastAsia="SimSun"/>
                <w:b w:val="0"/>
                <w:color w:val="auto"/>
                <w:sz w:val="21"/>
              </w:rPr>
              <w:t>304</w:t>
            </w:r>
          </w:p>
        </w:tc>
        <w:tc>
          <w:tcPr>
            <w:tcW w:w="1417" w:type="dxa"/>
          </w:tcPr>
          <w:p w14:paraId="2CD9B876">
            <w:pPr>
              <w:spacing w:after="0" w:line="400" w:lineRule="exact"/>
              <w:ind w:firstLine="0" w:firstLineChars="0"/>
              <w:jc w:val="center"/>
              <w:rPr>
                <w:color w:val="auto"/>
              </w:rPr>
            </w:pPr>
            <w:r>
              <w:rPr>
                <w:rFonts w:ascii="Times New Roman" w:hAnsi="Times New Roman" w:eastAsia="SimSun"/>
                <w:b w:val="0"/>
                <w:color w:val="auto"/>
                <w:sz w:val="21"/>
              </w:rPr>
              <w:t>5.6%</w:t>
            </w:r>
          </w:p>
        </w:tc>
        <w:tc>
          <w:tcPr>
            <w:tcW w:w="1417" w:type="dxa"/>
          </w:tcPr>
          <w:p w14:paraId="02A0C317">
            <w:pPr>
              <w:spacing w:after="0" w:line="400" w:lineRule="exact"/>
              <w:ind w:firstLine="0" w:firstLineChars="0"/>
              <w:jc w:val="center"/>
              <w:rPr>
                <w:color w:val="auto"/>
              </w:rPr>
            </w:pPr>
            <w:r>
              <w:rPr>
                <w:rFonts w:ascii="Times New Roman" w:hAnsi="Times New Roman" w:eastAsia="SimSun"/>
                <w:b w:val="0"/>
                <w:color w:val="auto"/>
                <w:sz w:val="21"/>
              </w:rPr>
              <w:t>中位数填充</w:t>
            </w:r>
          </w:p>
        </w:tc>
        <w:tc>
          <w:tcPr>
            <w:tcW w:w="1417" w:type="dxa"/>
          </w:tcPr>
          <w:p w14:paraId="0C122ABF">
            <w:pPr>
              <w:spacing w:after="0" w:line="400" w:lineRule="exact"/>
              <w:ind w:firstLine="0" w:firstLineChars="0"/>
              <w:jc w:val="center"/>
              <w:rPr>
                <w:color w:val="auto"/>
              </w:rPr>
            </w:pPr>
            <w:r>
              <w:rPr>
                <w:rFonts w:ascii="Times New Roman" w:hAnsi="Times New Roman" w:eastAsia="SimSun"/>
                <w:b w:val="0"/>
                <w:color w:val="auto"/>
                <w:sz w:val="21"/>
              </w:rPr>
              <w:t>0.0%</w:t>
            </w:r>
          </w:p>
        </w:tc>
      </w:tr>
    </w:tbl>
    <w:p w14:paraId="1AC4DEA0">
      <w:pPr>
        <w:pStyle w:val="5"/>
        <w:keepNext/>
        <w:keepLines/>
        <w:spacing w:before="156" w:beforeLines="50" w:after="156" w:afterLines="50" w:line="400" w:lineRule="exact"/>
        <w:ind w:firstLine="0" w:firstLineChars="0"/>
        <w:jc w:val="left"/>
        <w:rPr>
          <w:color w:val="auto"/>
        </w:rPr>
      </w:pPr>
      <w:bookmarkStart w:id="22" w:name="_Toc3367"/>
      <w:r>
        <w:rPr>
          <w:rFonts w:ascii="Times New Roman" w:hAnsi="Times New Roman" w:eastAsia="SimSun"/>
          <w:b/>
          <w:color w:val="auto"/>
          <w:sz w:val="24"/>
        </w:rPr>
        <w:t>3.2.2 异常值检测与修正</w:t>
      </w:r>
      <w:bookmarkEnd w:id="22"/>
    </w:p>
    <w:p w14:paraId="6E13C08C">
      <w:pPr>
        <w:spacing w:line="400" w:lineRule="exact"/>
        <w:ind w:firstLine="480" w:firstLineChars="200"/>
        <w:jc w:val="both"/>
        <w:rPr>
          <w:color w:val="auto"/>
        </w:rPr>
      </w:pPr>
      <w:r>
        <w:rPr>
          <w:rFonts w:ascii="Times New Roman" w:hAnsi="Times New Roman" w:eastAsia="SimSun"/>
          <w:b w:val="0"/>
          <w:color w:val="auto"/>
          <w:sz w:val="24"/>
        </w:rPr>
        <w:t>异常值的存在会严重影响统计分析和模型预测的准确性。常见的异常值检测方法包括箱线图法（IQR法）、Z-Score法和3σ准则等，本系统综合考虑数据特征和检测效率后，选择采用3σ准则（三倍标准差法）对数值型字段进行异常值检测。3σ准则基于正态分布假设，将偏离均值超过3倍标准差的数据点判定为异常值。具体而言，对于某一字段x，若某条记录的值x_i满足|x_i - μ| &gt; 3σ（其中μ为该字段的均值，σ为标准差），则将其标记为异常值。选择3σ准则的原因在于，碳排放数据经过缺失值填充后，各字段的分布接近正态分布，满足3σ准则的适用前提条件，且该方法实现简单、检测阈值明确，适合于数据清洗流程的自动化处理。被标记的异常值使用该字段在同分组（同地区、同行业）下的均值进行替换，而非直接删除，以保持数据集的样本完整性。</w:t>
      </w:r>
    </w:p>
    <w:p w14:paraId="6826A697">
      <w:pPr>
        <w:spacing w:line="400" w:lineRule="exact"/>
        <w:ind w:firstLine="480" w:firstLineChars="200"/>
        <w:jc w:val="both"/>
        <w:rPr>
          <w:color w:val="auto"/>
        </w:rPr>
      </w:pPr>
      <w:r>
        <w:rPr>
          <w:rFonts w:ascii="Times New Roman" w:hAnsi="Times New Roman" w:eastAsia="SimSun"/>
          <w:b w:val="0"/>
          <w:color w:val="auto"/>
          <w:sz w:val="24"/>
        </w:rPr>
        <w:t>异常值检测结果的箱线图如图3-3所示，清洗结果如表3-3所示。检测结果表明，排放量字段检出异常值12条（占0.22%），能源消耗字段检出8条（占0.15%），GDP字段检出5条（占0.09%），能源效率字段检出15条（占0.28%）。异常值数量较少，说明原始数据整体质量较好，经修正后数据分布更加合理稳定。</w:t>
      </w:r>
    </w:p>
    <w:p w14:paraId="423B265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5039995" cy="3007995"/>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040000" cy="3008194"/>
                    </a:xfrm>
                    <a:prstGeom prst="rect">
                      <a:avLst/>
                    </a:prstGeom>
                  </pic:spPr>
                </pic:pic>
              </a:graphicData>
            </a:graphic>
          </wp:inline>
        </w:drawing>
      </w:r>
    </w:p>
    <w:p w14:paraId="443E2721">
      <w:pPr>
        <w:spacing w:line="400" w:lineRule="exact"/>
        <w:rPr>
          <w:color w:val="auto"/>
        </w:rPr>
      </w:pPr>
    </w:p>
    <w:p w14:paraId="140B271E">
      <w:pPr>
        <w:spacing w:line="400" w:lineRule="exact"/>
        <w:ind w:firstLine="0" w:firstLineChars="0"/>
        <w:jc w:val="center"/>
        <w:rPr>
          <w:color w:val="auto"/>
        </w:rPr>
      </w:pPr>
      <w:r>
        <w:rPr>
          <w:rFonts w:ascii="Times New Roman" w:hAnsi="Times New Roman" w:eastAsia="KaiTi"/>
          <w:b w:val="0"/>
          <w:color w:val="auto"/>
          <w:sz w:val="21"/>
        </w:rPr>
        <w:t>图3-3 异常值检测结果（箱线图）</w:t>
      </w:r>
    </w:p>
    <w:p w14:paraId="2BBBA4D3">
      <w:pPr>
        <w:spacing w:line="400" w:lineRule="exact"/>
        <w:rPr>
          <w:color w:val="auto"/>
        </w:rPr>
      </w:pPr>
    </w:p>
    <w:p w14:paraId="621FD1EE">
      <w:pPr>
        <w:spacing w:line="400" w:lineRule="exact"/>
        <w:ind w:firstLine="0" w:firstLineChars="0"/>
        <w:jc w:val="center"/>
        <w:rPr>
          <w:color w:val="auto"/>
        </w:rPr>
      </w:pPr>
      <w:r>
        <w:rPr>
          <w:rFonts w:ascii="Times New Roman" w:hAnsi="Times New Roman" w:eastAsia="KaiTi"/>
          <w:b w:val="0"/>
          <w:color w:val="auto"/>
          <w:sz w:val="21"/>
        </w:rPr>
        <w:t>表3-3 异常值检测与修正结果</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1336"/>
        <w:gridCol w:w="1335"/>
        <w:gridCol w:w="1363"/>
        <w:gridCol w:w="1335"/>
        <w:gridCol w:w="1374"/>
      </w:tblGrid>
      <w:tr w14:paraId="7B35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8411415">
            <w:pPr>
              <w:spacing w:after="0" w:line="400" w:lineRule="exact"/>
              <w:ind w:firstLine="0" w:firstLineChars="0"/>
              <w:jc w:val="center"/>
              <w:rPr>
                <w:color w:val="auto"/>
              </w:rPr>
            </w:pPr>
            <w:r>
              <w:rPr>
                <w:rFonts w:ascii="Times New Roman" w:hAnsi="Times New Roman" w:eastAsia="SimSun"/>
                <w:b w:val="0"/>
                <w:color w:val="auto"/>
                <w:sz w:val="21"/>
              </w:rPr>
              <w:t>字段名称</w:t>
            </w:r>
          </w:p>
        </w:tc>
        <w:tc>
          <w:tcPr>
            <w:tcW w:w="1417" w:type="dxa"/>
          </w:tcPr>
          <w:p w14:paraId="606E1761">
            <w:pPr>
              <w:spacing w:after="0" w:line="400" w:lineRule="exact"/>
              <w:ind w:firstLine="0" w:firstLineChars="0"/>
              <w:jc w:val="center"/>
              <w:rPr>
                <w:color w:val="auto"/>
              </w:rPr>
            </w:pPr>
            <w:r>
              <w:rPr>
                <w:rFonts w:ascii="Times New Roman" w:hAnsi="Times New Roman" w:eastAsia="SimSun"/>
                <w:b w:val="0"/>
                <w:color w:val="auto"/>
                <w:sz w:val="21"/>
              </w:rPr>
              <w:t>检测方法</w:t>
            </w:r>
          </w:p>
        </w:tc>
        <w:tc>
          <w:tcPr>
            <w:tcW w:w="1417" w:type="dxa"/>
          </w:tcPr>
          <w:p w14:paraId="40B2CE4F">
            <w:pPr>
              <w:spacing w:after="0" w:line="400" w:lineRule="exact"/>
              <w:ind w:firstLine="0" w:firstLineChars="0"/>
              <w:jc w:val="center"/>
              <w:rPr>
                <w:color w:val="auto"/>
              </w:rPr>
            </w:pPr>
            <w:r>
              <w:rPr>
                <w:rFonts w:ascii="Times New Roman" w:hAnsi="Times New Roman" w:eastAsia="SimSun"/>
                <w:b w:val="0"/>
                <w:color w:val="auto"/>
                <w:sz w:val="21"/>
              </w:rPr>
              <w:t>异常值数量</w:t>
            </w:r>
          </w:p>
        </w:tc>
        <w:tc>
          <w:tcPr>
            <w:tcW w:w="1417" w:type="dxa"/>
          </w:tcPr>
          <w:p w14:paraId="04200758">
            <w:pPr>
              <w:spacing w:after="0" w:line="400" w:lineRule="exact"/>
              <w:ind w:firstLine="0" w:firstLineChars="0"/>
              <w:jc w:val="center"/>
              <w:rPr>
                <w:color w:val="auto"/>
              </w:rPr>
            </w:pPr>
            <w:r>
              <w:rPr>
                <w:rFonts w:ascii="Times New Roman" w:hAnsi="Times New Roman" w:eastAsia="SimSun"/>
                <w:b w:val="0"/>
                <w:color w:val="auto"/>
                <w:sz w:val="21"/>
              </w:rPr>
              <w:t>异常比例</w:t>
            </w:r>
          </w:p>
        </w:tc>
        <w:tc>
          <w:tcPr>
            <w:tcW w:w="1417" w:type="dxa"/>
          </w:tcPr>
          <w:p w14:paraId="45B6D313">
            <w:pPr>
              <w:spacing w:after="0" w:line="400" w:lineRule="exact"/>
              <w:ind w:firstLine="0" w:firstLineChars="0"/>
              <w:jc w:val="center"/>
              <w:rPr>
                <w:color w:val="auto"/>
              </w:rPr>
            </w:pPr>
            <w:r>
              <w:rPr>
                <w:rFonts w:ascii="Times New Roman" w:hAnsi="Times New Roman" w:eastAsia="SimSun"/>
                <w:b w:val="0"/>
                <w:color w:val="auto"/>
                <w:sz w:val="21"/>
              </w:rPr>
              <w:t>修正方法</w:t>
            </w:r>
          </w:p>
        </w:tc>
        <w:tc>
          <w:tcPr>
            <w:tcW w:w="1417" w:type="dxa"/>
          </w:tcPr>
          <w:p w14:paraId="5CA878AA">
            <w:pPr>
              <w:spacing w:after="0" w:line="400" w:lineRule="exact"/>
              <w:ind w:firstLine="0" w:firstLineChars="0"/>
              <w:jc w:val="center"/>
              <w:rPr>
                <w:color w:val="auto"/>
              </w:rPr>
            </w:pPr>
            <w:r>
              <w:rPr>
                <w:rFonts w:ascii="Times New Roman" w:hAnsi="Times New Roman" w:eastAsia="SimSun"/>
                <w:b w:val="0"/>
                <w:color w:val="auto"/>
                <w:sz w:val="21"/>
              </w:rPr>
              <w:t>修正后标准差</w:t>
            </w:r>
          </w:p>
        </w:tc>
      </w:tr>
      <w:tr w14:paraId="5351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61E2D25">
            <w:pPr>
              <w:spacing w:after="0" w:line="400" w:lineRule="exact"/>
              <w:ind w:firstLine="0" w:firstLineChars="0"/>
              <w:jc w:val="center"/>
              <w:rPr>
                <w:color w:val="auto"/>
              </w:rPr>
            </w:pPr>
            <w:r>
              <w:rPr>
                <w:rFonts w:ascii="Times New Roman" w:hAnsi="Times New Roman" w:eastAsia="SimSun"/>
                <w:b w:val="0"/>
                <w:color w:val="auto"/>
                <w:sz w:val="21"/>
              </w:rPr>
              <w:t>emission_amount</w:t>
            </w:r>
          </w:p>
        </w:tc>
        <w:tc>
          <w:tcPr>
            <w:tcW w:w="1417" w:type="dxa"/>
          </w:tcPr>
          <w:p w14:paraId="732C1FBB">
            <w:pPr>
              <w:spacing w:after="0" w:line="400" w:lineRule="exact"/>
              <w:ind w:firstLine="0" w:firstLineChars="0"/>
              <w:jc w:val="center"/>
              <w:rPr>
                <w:color w:val="auto"/>
              </w:rPr>
            </w:pPr>
            <w:r>
              <w:rPr>
                <w:rFonts w:ascii="Times New Roman" w:hAnsi="Times New Roman" w:eastAsia="SimSun"/>
                <w:b w:val="0"/>
                <w:color w:val="auto"/>
                <w:sz w:val="21"/>
              </w:rPr>
              <w:t>3σ准则</w:t>
            </w:r>
          </w:p>
        </w:tc>
        <w:tc>
          <w:tcPr>
            <w:tcW w:w="1417" w:type="dxa"/>
          </w:tcPr>
          <w:p w14:paraId="116CD523">
            <w:pPr>
              <w:spacing w:after="0" w:line="400" w:lineRule="exact"/>
              <w:ind w:firstLine="0" w:firstLineChars="0"/>
              <w:jc w:val="center"/>
              <w:rPr>
                <w:color w:val="auto"/>
              </w:rPr>
            </w:pPr>
            <w:r>
              <w:rPr>
                <w:rFonts w:ascii="Times New Roman" w:hAnsi="Times New Roman" w:eastAsia="SimSun"/>
                <w:b w:val="0"/>
                <w:color w:val="auto"/>
                <w:sz w:val="21"/>
              </w:rPr>
              <w:t>12</w:t>
            </w:r>
          </w:p>
        </w:tc>
        <w:tc>
          <w:tcPr>
            <w:tcW w:w="1417" w:type="dxa"/>
          </w:tcPr>
          <w:p w14:paraId="19895C0F">
            <w:pPr>
              <w:spacing w:after="0" w:line="400" w:lineRule="exact"/>
              <w:ind w:firstLine="0" w:firstLineChars="0"/>
              <w:jc w:val="center"/>
              <w:rPr>
                <w:color w:val="auto"/>
              </w:rPr>
            </w:pPr>
            <w:r>
              <w:rPr>
                <w:rFonts w:ascii="Times New Roman" w:hAnsi="Times New Roman" w:eastAsia="SimSun"/>
                <w:b w:val="0"/>
                <w:color w:val="auto"/>
                <w:sz w:val="21"/>
              </w:rPr>
              <w:t>0.22%</w:t>
            </w:r>
          </w:p>
        </w:tc>
        <w:tc>
          <w:tcPr>
            <w:tcW w:w="1417" w:type="dxa"/>
          </w:tcPr>
          <w:p w14:paraId="16660D66">
            <w:pPr>
              <w:spacing w:after="0" w:line="400" w:lineRule="exact"/>
              <w:ind w:firstLine="0" w:firstLineChars="0"/>
              <w:jc w:val="center"/>
              <w:rPr>
                <w:color w:val="auto"/>
              </w:rPr>
            </w:pPr>
            <w:r>
              <w:rPr>
                <w:rFonts w:ascii="Times New Roman" w:hAnsi="Times New Roman" w:eastAsia="SimSun"/>
                <w:b w:val="0"/>
                <w:color w:val="auto"/>
                <w:sz w:val="21"/>
              </w:rPr>
              <w:t>组内均值替换</w:t>
            </w:r>
          </w:p>
        </w:tc>
        <w:tc>
          <w:tcPr>
            <w:tcW w:w="1417" w:type="dxa"/>
          </w:tcPr>
          <w:p w14:paraId="165F5F5B">
            <w:pPr>
              <w:spacing w:after="0" w:line="400" w:lineRule="exact"/>
              <w:ind w:firstLine="0" w:firstLineChars="0"/>
              <w:jc w:val="center"/>
              <w:rPr>
                <w:color w:val="auto"/>
              </w:rPr>
            </w:pPr>
            <w:r>
              <w:rPr>
                <w:rFonts w:ascii="Times New Roman" w:hAnsi="Times New Roman" w:eastAsia="SimSun"/>
                <w:b w:val="0"/>
                <w:color w:val="auto"/>
                <w:sz w:val="21"/>
              </w:rPr>
              <w:t>826.35</w:t>
            </w:r>
          </w:p>
        </w:tc>
      </w:tr>
      <w:tr w14:paraId="4219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3D9E5DC">
            <w:pPr>
              <w:spacing w:after="0" w:line="400" w:lineRule="exact"/>
              <w:ind w:firstLine="0" w:firstLineChars="0"/>
              <w:jc w:val="center"/>
              <w:rPr>
                <w:color w:val="auto"/>
              </w:rPr>
            </w:pPr>
            <w:r>
              <w:rPr>
                <w:rFonts w:ascii="Times New Roman" w:hAnsi="Times New Roman" w:eastAsia="SimSun"/>
                <w:b w:val="0"/>
                <w:color w:val="auto"/>
                <w:sz w:val="21"/>
              </w:rPr>
              <w:t>energy_consumption</w:t>
            </w:r>
          </w:p>
        </w:tc>
        <w:tc>
          <w:tcPr>
            <w:tcW w:w="1417" w:type="dxa"/>
          </w:tcPr>
          <w:p w14:paraId="41D129F6">
            <w:pPr>
              <w:spacing w:after="0" w:line="400" w:lineRule="exact"/>
              <w:ind w:firstLine="0" w:firstLineChars="0"/>
              <w:jc w:val="center"/>
              <w:rPr>
                <w:color w:val="auto"/>
              </w:rPr>
            </w:pPr>
            <w:r>
              <w:rPr>
                <w:rFonts w:ascii="Times New Roman" w:hAnsi="Times New Roman" w:eastAsia="SimSun"/>
                <w:b w:val="0"/>
                <w:color w:val="auto"/>
                <w:sz w:val="21"/>
              </w:rPr>
              <w:t>3σ准则</w:t>
            </w:r>
          </w:p>
        </w:tc>
        <w:tc>
          <w:tcPr>
            <w:tcW w:w="1417" w:type="dxa"/>
          </w:tcPr>
          <w:p w14:paraId="5B8BD4DA">
            <w:pPr>
              <w:spacing w:after="0" w:line="400" w:lineRule="exact"/>
              <w:ind w:firstLine="0" w:firstLineChars="0"/>
              <w:jc w:val="center"/>
              <w:rPr>
                <w:color w:val="auto"/>
              </w:rPr>
            </w:pPr>
            <w:r>
              <w:rPr>
                <w:rFonts w:ascii="Times New Roman" w:hAnsi="Times New Roman" w:eastAsia="SimSun"/>
                <w:b w:val="0"/>
                <w:color w:val="auto"/>
                <w:sz w:val="21"/>
              </w:rPr>
              <w:t>8</w:t>
            </w:r>
          </w:p>
        </w:tc>
        <w:tc>
          <w:tcPr>
            <w:tcW w:w="1417" w:type="dxa"/>
          </w:tcPr>
          <w:p w14:paraId="289C748F">
            <w:pPr>
              <w:spacing w:after="0" w:line="400" w:lineRule="exact"/>
              <w:ind w:firstLine="0" w:firstLineChars="0"/>
              <w:jc w:val="center"/>
              <w:rPr>
                <w:color w:val="auto"/>
              </w:rPr>
            </w:pPr>
            <w:r>
              <w:rPr>
                <w:rFonts w:ascii="Times New Roman" w:hAnsi="Times New Roman" w:eastAsia="SimSun"/>
                <w:b w:val="0"/>
                <w:color w:val="auto"/>
                <w:sz w:val="21"/>
              </w:rPr>
              <w:t>0.15%</w:t>
            </w:r>
          </w:p>
        </w:tc>
        <w:tc>
          <w:tcPr>
            <w:tcW w:w="1417" w:type="dxa"/>
          </w:tcPr>
          <w:p w14:paraId="44737614">
            <w:pPr>
              <w:spacing w:after="0" w:line="400" w:lineRule="exact"/>
              <w:ind w:firstLine="0" w:firstLineChars="0"/>
              <w:jc w:val="center"/>
              <w:rPr>
                <w:color w:val="auto"/>
              </w:rPr>
            </w:pPr>
            <w:r>
              <w:rPr>
                <w:rFonts w:ascii="Times New Roman" w:hAnsi="Times New Roman" w:eastAsia="SimSun"/>
                <w:b w:val="0"/>
                <w:color w:val="auto"/>
                <w:sz w:val="21"/>
              </w:rPr>
              <w:t>组内均值替换</w:t>
            </w:r>
          </w:p>
        </w:tc>
        <w:tc>
          <w:tcPr>
            <w:tcW w:w="1417" w:type="dxa"/>
          </w:tcPr>
          <w:p w14:paraId="0D19D994">
            <w:pPr>
              <w:spacing w:after="0" w:line="400" w:lineRule="exact"/>
              <w:ind w:firstLine="0" w:firstLineChars="0"/>
              <w:jc w:val="center"/>
              <w:rPr>
                <w:color w:val="auto"/>
              </w:rPr>
            </w:pPr>
            <w:r>
              <w:rPr>
                <w:rFonts w:ascii="Times New Roman" w:hAnsi="Times New Roman" w:eastAsia="SimSun"/>
                <w:b w:val="0"/>
                <w:color w:val="auto"/>
                <w:sz w:val="21"/>
              </w:rPr>
              <w:t>538.12</w:t>
            </w:r>
          </w:p>
        </w:tc>
      </w:tr>
      <w:tr w14:paraId="5AC4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85E97A8">
            <w:pPr>
              <w:spacing w:after="0" w:line="400" w:lineRule="exact"/>
              <w:ind w:firstLine="0" w:firstLineChars="0"/>
              <w:jc w:val="center"/>
              <w:rPr>
                <w:color w:val="auto"/>
              </w:rPr>
            </w:pPr>
            <w:r>
              <w:rPr>
                <w:rFonts w:ascii="Times New Roman" w:hAnsi="Times New Roman" w:eastAsia="SimSun"/>
                <w:b w:val="0"/>
                <w:color w:val="auto"/>
                <w:sz w:val="21"/>
              </w:rPr>
              <w:t>gdp</w:t>
            </w:r>
          </w:p>
        </w:tc>
        <w:tc>
          <w:tcPr>
            <w:tcW w:w="1417" w:type="dxa"/>
          </w:tcPr>
          <w:p w14:paraId="4EB8CC4A">
            <w:pPr>
              <w:spacing w:after="0" w:line="400" w:lineRule="exact"/>
              <w:ind w:firstLine="0" w:firstLineChars="0"/>
              <w:jc w:val="center"/>
              <w:rPr>
                <w:color w:val="auto"/>
              </w:rPr>
            </w:pPr>
            <w:r>
              <w:rPr>
                <w:rFonts w:ascii="Times New Roman" w:hAnsi="Times New Roman" w:eastAsia="SimSun"/>
                <w:b w:val="0"/>
                <w:color w:val="auto"/>
                <w:sz w:val="21"/>
              </w:rPr>
              <w:t>3σ准则</w:t>
            </w:r>
          </w:p>
        </w:tc>
        <w:tc>
          <w:tcPr>
            <w:tcW w:w="1417" w:type="dxa"/>
          </w:tcPr>
          <w:p w14:paraId="7C520938">
            <w:pPr>
              <w:spacing w:after="0" w:line="400" w:lineRule="exact"/>
              <w:ind w:firstLine="0" w:firstLineChars="0"/>
              <w:jc w:val="center"/>
              <w:rPr>
                <w:color w:val="auto"/>
              </w:rPr>
            </w:pPr>
            <w:r>
              <w:rPr>
                <w:rFonts w:ascii="Times New Roman" w:hAnsi="Times New Roman" w:eastAsia="SimSun"/>
                <w:b w:val="0"/>
                <w:color w:val="auto"/>
                <w:sz w:val="21"/>
              </w:rPr>
              <w:t>5</w:t>
            </w:r>
          </w:p>
        </w:tc>
        <w:tc>
          <w:tcPr>
            <w:tcW w:w="1417" w:type="dxa"/>
          </w:tcPr>
          <w:p w14:paraId="16E3C3CB">
            <w:pPr>
              <w:spacing w:after="0" w:line="400" w:lineRule="exact"/>
              <w:ind w:firstLine="0" w:firstLineChars="0"/>
              <w:jc w:val="center"/>
              <w:rPr>
                <w:color w:val="auto"/>
              </w:rPr>
            </w:pPr>
            <w:r>
              <w:rPr>
                <w:rFonts w:ascii="Times New Roman" w:hAnsi="Times New Roman" w:eastAsia="SimSun"/>
                <w:b w:val="0"/>
                <w:color w:val="auto"/>
                <w:sz w:val="21"/>
              </w:rPr>
              <w:t>0.09%</w:t>
            </w:r>
          </w:p>
        </w:tc>
        <w:tc>
          <w:tcPr>
            <w:tcW w:w="1417" w:type="dxa"/>
          </w:tcPr>
          <w:p w14:paraId="31645958">
            <w:pPr>
              <w:spacing w:after="0" w:line="400" w:lineRule="exact"/>
              <w:ind w:firstLine="0" w:firstLineChars="0"/>
              <w:jc w:val="center"/>
              <w:rPr>
                <w:color w:val="auto"/>
              </w:rPr>
            </w:pPr>
            <w:r>
              <w:rPr>
                <w:rFonts w:ascii="Times New Roman" w:hAnsi="Times New Roman" w:eastAsia="SimSun"/>
                <w:b w:val="0"/>
                <w:color w:val="auto"/>
                <w:sz w:val="21"/>
              </w:rPr>
              <w:t>组内均值替换</w:t>
            </w:r>
          </w:p>
        </w:tc>
        <w:tc>
          <w:tcPr>
            <w:tcW w:w="1417" w:type="dxa"/>
          </w:tcPr>
          <w:p w14:paraId="4DCDA5AD">
            <w:pPr>
              <w:spacing w:after="0" w:line="400" w:lineRule="exact"/>
              <w:ind w:firstLine="0" w:firstLineChars="0"/>
              <w:jc w:val="center"/>
              <w:rPr>
                <w:color w:val="auto"/>
              </w:rPr>
            </w:pPr>
            <w:r>
              <w:rPr>
                <w:rFonts w:ascii="Times New Roman" w:hAnsi="Times New Roman" w:eastAsia="SimSun"/>
                <w:b w:val="0"/>
                <w:color w:val="auto"/>
                <w:sz w:val="21"/>
              </w:rPr>
              <w:t>1245.78</w:t>
            </w:r>
          </w:p>
        </w:tc>
      </w:tr>
      <w:tr w14:paraId="04D4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098FF4A">
            <w:pPr>
              <w:spacing w:after="0" w:line="400" w:lineRule="exact"/>
              <w:ind w:firstLine="0" w:firstLineChars="0"/>
              <w:jc w:val="center"/>
              <w:rPr>
                <w:color w:val="auto"/>
              </w:rPr>
            </w:pPr>
            <w:r>
              <w:rPr>
                <w:rFonts w:ascii="Times New Roman" w:hAnsi="Times New Roman" w:eastAsia="SimSun"/>
                <w:b w:val="0"/>
                <w:color w:val="auto"/>
                <w:sz w:val="21"/>
              </w:rPr>
              <w:t>energy_efficiency</w:t>
            </w:r>
          </w:p>
        </w:tc>
        <w:tc>
          <w:tcPr>
            <w:tcW w:w="1417" w:type="dxa"/>
          </w:tcPr>
          <w:p w14:paraId="2E520333">
            <w:pPr>
              <w:spacing w:after="0" w:line="400" w:lineRule="exact"/>
              <w:ind w:firstLine="0" w:firstLineChars="0"/>
              <w:jc w:val="center"/>
              <w:rPr>
                <w:color w:val="auto"/>
              </w:rPr>
            </w:pPr>
            <w:r>
              <w:rPr>
                <w:rFonts w:ascii="Times New Roman" w:hAnsi="Times New Roman" w:eastAsia="SimSun"/>
                <w:b w:val="0"/>
                <w:color w:val="auto"/>
                <w:sz w:val="21"/>
              </w:rPr>
              <w:t>3σ准则</w:t>
            </w:r>
          </w:p>
        </w:tc>
        <w:tc>
          <w:tcPr>
            <w:tcW w:w="1417" w:type="dxa"/>
          </w:tcPr>
          <w:p w14:paraId="75BEA81D">
            <w:pPr>
              <w:spacing w:after="0" w:line="400" w:lineRule="exact"/>
              <w:ind w:firstLine="0" w:firstLineChars="0"/>
              <w:jc w:val="center"/>
              <w:rPr>
                <w:color w:val="auto"/>
              </w:rPr>
            </w:pPr>
            <w:r>
              <w:rPr>
                <w:rFonts w:ascii="Times New Roman" w:hAnsi="Times New Roman" w:eastAsia="SimSun"/>
                <w:b w:val="0"/>
                <w:color w:val="auto"/>
                <w:sz w:val="21"/>
              </w:rPr>
              <w:t>15</w:t>
            </w:r>
          </w:p>
        </w:tc>
        <w:tc>
          <w:tcPr>
            <w:tcW w:w="1417" w:type="dxa"/>
          </w:tcPr>
          <w:p w14:paraId="6AA7A353">
            <w:pPr>
              <w:spacing w:after="0" w:line="400" w:lineRule="exact"/>
              <w:ind w:firstLine="0" w:firstLineChars="0"/>
              <w:jc w:val="center"/>
              <w:rPr>
                <w:color w:val="auto"/>
              </w:rPr>
            </w:pPr>
            <w:r>
              <w:rPr>
                <w:rFonts w:ascii="Times New Roman" w:hAnsi="Times New Roman" w:eastAsia="SimSun"/>
                <w:b w:val="0"/>
                <w:color w:val="auto"/>
                <w:sz w:val="21"/>
              </w:rPr>
              <w:t>0.28%</w:t>
            </w:r>
          </w:p>
        </w:tc>
        <w:tc>
          <w:tcPr>
            <w:tcW w:w="1417" w:type="dxa"/>
          </w:tcPr>
          <w:p w14:paraId="4F46DCB3">
            <w:pPr>
              <w:spacing w:after="0" w:line="400" w:lineRule="exact"/>
              <w:ind w:firstLine="0" w:firstLineChars="0"/>
              <w:jc w:val="center"/>
              <w:rPr>
                <w:color w:val="auto"/>
              </w:rPr>
            </w:pPr>
            <w:r>
              <w:rPr>
                <w:rFonts w:ascii="Times New Roman" w:hAnsi="Times New Roman" w:eastAsia="SimSun"/>
                <w:b w:val="0"/>
                <w:color w:val="auto"/>
                <w:sz w:val="21"/>
              </w:rPr>
              <w:t>组内均值替换</w:t>
            </w:r>
          </w:p>
        </w:tc>
        <w:tc>
          <w:tcPr>
            <w:tcW w:w="1417" w:type="dxa"/>
          </w:tcPr>
          <w:p w14:paraId="036BB715">
            <w:pPr>
              <w:spacing w:after="0" w:line="400" w:lineRule="exact"/>
              <w:ind w:firstLine="0" w:firstLineChars="0"/>
              <w:jc w:val="center"/>
              <w:rPr>
                <w:color w:val="auto"/>
              </w:rPr>
            </w:pPr>
            <w:r>
              <w:rPr>
                <w:rFonts w:ascii="Times New Roman" w:hAnsi="Times New Roman" w:eastAsia="SimSun"/>
                <w:b w:val="0"/>
                <w:color w:val="auto"/>
                <w:sz w:val="21"/>
              </w:rPr>
              <w:t>0.0523</w:t>
            </w:r>
          </w:p>
        </w:tc>
      </w:tr>
    </w:tbl>
    <w:p w14:paraId="196FDE79">
      <w:pPr>
        <w:pStyle w:val="5"/>
        <w:keepNext/>
        <w:keepLines/>
        <w:spacing w:before="156" w:beforeLines="50" w:after="156" w:afterLines="50" w:line="400" w:lineRule="exact"/>
        <w:ind w:firstLine="0" w:firstLineChars="0"/>
        <w:jc w:val="left"/>
        <w:rPr>
          <w:color w:val="auto"/>
        </w:rPr>
      </w:pPr>
      <w:bookmarkStart w:id="23" w:name="_Toc31230"/>
      <w:r>
        <w:rPr>
          <w:rFonts w:ascii="Times New Roman" w:hAnsi="Times New Roman" w:eastAsia="SimSun"/>
          <w:b/>
          <w:color w:val="auto"/>
          <w:sz w:val="24"/>
        </w:rPr>
        <w:t>3.2.3 重复数据去除</w:t>
      </w:r>
      <w:bookmarkEnd w:id="23"/>
    </w:p>
    <w:p w14:paraId="63FA20DC">
      <w:pPr>
        <w:spacing w:line="400" w:lineRule="exact"/>
        <w:ind w:firstLine="480" w:firstLineChars="200"/>
        <w:jc w:val="both"/>
        <w:rPr>
          <w:color w:val="auto"/>
        </w:rPr>
      </w:pPr>
      <w:r>
        <w:rPr>
          <w:rFonts w:ascii="Times New Roman" w:hAnsi="Times New Roman" w:eastAsia="SimSun"/>
          <w:b w:val="0"/>
          <w:color w:val="auto"/>
          <w:sz w:val="24"/>
        </w:rPr>
        <w:t>重复数据的产生通常源于数据多次采集、系统重复提交或合并操作中的错误。在多源数据整合场景中，不同数据来源可能对同一统计对象进行重复记录，如果不进行去重处理，将导致后续聚合统计结果偏高，影响分析结论的准确性。本系统基于主键约束（年份+季度+地区+行业+排放源的组合唯一性）对数据集进行重复检测，发现并删除了234条重复记录（占总记录数的4.3%）。重复数据去除采用保留首条记录、删除后续重复记录的策略，确保每个统计维度组合仅保留唯一的一条有效记录。当发现同一维度组合存在多条数值不同的记录时，系统以数据来源可信度较高的CEADs数据为准，确保入库数据的权威性和一致性。</w:t>
      </w:r>
    </w:p>
    <w:p w14:paraId="32E174A6">
      <w:pPr>
        <w:spacing w:line="400" w:lineRule="exact"/>
        <w:ind w:firstLine="480" w:firstLineChars="200"/>
        <w:jc w:val="both"/>
        <w:rPr>
          <w:color w:val="auto"/>
        </w:rPr>
      </w:pPr>
      <w:r>
        <w:rPr>
          <w:rFonts w:ascii="Times New Roman" w:hAnsi="Times New Roman" w:eastAsia="SimSun"/>
          <w:b w:val="0"/>
          <w:color w:val="auto"/>
          <w:sz w:val="24"/>
        </w:rPr>
        <w:t>去重前后各数据表的记录数对比如图3-4所示，详细结果如表3-4所示。去重处理有效减少了数据冗余，保证了后续统计分析和模型训练的数据唯一性。</w:t>
      </w:r>
    </w:p>
    <w:p w14:paraId="08CFDAA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5039995" cy="3131820"/>
            <wp:effectExtent l="0" t="0" r="444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040000" cy="3132023"/>
                    </a:xfrm>
                    <a:prstGeom prst="rect">
                      <a:avLst/>
                    </a:prstGeom>
                  </pic:spPr>
                </pic:pic>
              </a:graphicData>
            </a:graphic>
          </wp:inline>
        </w:drawing>
      </w:r>
    </w:p>
    <w:p w14:paraId="54E938D2">
      <w:pPr>
        <w:spacing w:line="400" w:lineRule="exact"/>
        <w:rPr>
          <w:color w:val="auto"/>
        </w:rPr>
      </w:pPr>
    </w:p>
    <w:p w14:paraId="25EE8A49">
      <w:pPr>
        <w:spacing w:line="400" w:lineRule="exact"/>
        <w:ind w:firstLine="0" w:firstLineChars="0"/>
        <w:jc w:val="center"/>
        <w:rPr>
          <w:color w:val="auto"/>
        </w:rPr>
      </w:pPr>
      <w:r>
        <w:rPr>
          <w:rFonts w:ascii="Times New Roman" w:hAnsi="Times New Roman" w:eastAsia="KaiTi"/>
          <w:b w:val="0"/>
          <w:color w:val="auto"/>
          <w:sz w:val="21"/>
        </w:rPr>
        <w:t>图3-4 去重前后数据记录数对比</w:t>
      </w:r>
    </w:p>
    <w:p w14:paraId="524AC24C">
      <w:pPr>
        <w:spacing w:line="400" w:lineRule="exact"/>
        <w:rPr>
          <w:color w:val="auto"/>
        </w:rPr>
      </w:pPr>
    </w:p>
    <w:p w14:paraId="084B3D95">
      <w:pPr>
        <w:spacing w:line="400" w:lineRule="exact"/>
        <w:ind w:firstLine="0" w:firstLineChars="0"/>
        <w:jc w:val="center"/>
        <w:rPr>
          <w:color w:val="auto"/>
        </w:rPr>
      </w:pPr>
      <w:r>
        <w:rPr>
          <w:rFonts w:ascii="Times New Roman" w:hAnsi="Times New Roman" w:eastAsia="KaiTi"/>
          <w:b w:val="0"/>
          <w:color w:val="auto"/>
          <w:sz w:val="21"/>
        </w:rPr>
        <w:t>表3-4 数据去重结果统计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5ABB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5443E46">
            <w:pPr>
              <w:spacing w:after="0" w:line="400" w:lineRule="exact"/>
              <w:ind w:firstLine="0" w:firstLineChars="0"/>
              <w:jc w:val="center"/>
              <w:rPr>
                <w:color w:val="auto"/>
              </w:rPr>
            </w:pPr>
            <w:r>
              <w:rPr>
                <w:rFonts w:ascii="Times New Roman" w:hAnsi="Times New Roman" w:eastAsia="SimSun"/>
                <w:b w:val="0"/>
                <w:color w:val="auto"/>
                <w:sz w:val="21"/>
              </w:rPr>
              <w:t>数据表</w:t>
            </w:r>
          </w:p>
        </w:tc>
        <w:tc>
          <w:tcPr>
            <w:tcW w:w="1701" w:type="dxa"/>
          </w:tcPr>
          <w:p w14:paraId="729E25E1">
            <w:pPr>
              <w:spacing w:after="0" w:line="400" w:lineRule="exact"/>
              <w:ind w:firstLine="0" w:firstLineChars="0"/>
              <w:jc w:val="center"/>
              <w:rPr>
                <w:color w:val="auto"/>
              </w:rPr>
            </w:pPr>
            <w:r>
              <w:rPr>
                <w:rFonts w:ascii="Times New Roman" w:hAnsi="Times New Roman" w:eastAsia="SimSun"/>
                <w:b w:val="0"/>
                <w:color w:val="auto"/>
                <w:sz w:val="21"/>
              </w:rPr>
              <w:t>去重前记录数</w:t>
            </w:r>
          </w:p>
        </w:tc>
        <w:tc>
          <w:tcPr>
            <w:tcW w:w="1701" w:type="dxa"/>
          </w:tcPr>
          <w:p w14:paraId="045FDDE8">
            <w:pPr>
              <w:spacing w:after="0" w:line="400" w:lineRule="exact"/>
              <w:ind w:firstLine="0" w:firstLineChars="0"/>
              <w:jc w:val="center"/>
              <w:rPr>
                <w:color w:val="auto"/>
              </w:rPr>
            </w:pPr>
            <w:r>
              <w:rPr>
                <w:rFonts w:ascii="Times New Roman" w:hAnsi="Times New Roman" w:eastAsia="SimSun"/>
                <w:b w:val="0"/>
                <w:color w:val="auto"/>
                <w:sz w:val="21"/>
              </w:rPr>
              <w:t>重复记录数</w:t>
            </w:r>
          </w:p>
        </w:tc>
        <w:tc>
          <w:tcPr>
            <w:tcW w:w="1701" w:type="dxa"/>
          </w:tcPr>
          <w:p w14:paraId="07F5C067">
            <w:pPr>
              <w:spacing w:after="0" w:line="400" w:lineRule="exact"/>
              <w:ind w:firstLine="0" w:firstLineChars="0"/>
              <w:jc w:val="center"/>
              <w:rPr>
                <w:color w:val="auto"/>
              </w:rPr>
            </w:pPr>
            <w:r>
              <w:rPr>
                <w:rFonts w:ascii="Times New Roman" w:hAnsi="Times New Roman" w:eastAsia="SimSun"/>
                <w:b w:val="0"/>
                <w:color w:val="auto"/>
                <w:sz w:val="21"/>
              </w:rPr>
              <w:t>去重后记录数</w:t>
            </w:r>
          </w:p>
        </w:tc>
        <w:tc>
          <w:tcPr>
            <w:tcW w:w="1701" w:type="dxa"/>
          </w:tcPr>
          <w:p w14:paraId="70C9BA7C">
            <w:pPr>
              <w:spacing w:after="0" w:line="400" w:lineRule="exact"/>
              <w:ind w:firstLine="0" w:firstLineChars="0"/>
              <w:jc w:val="center"/>
              <w:rPr>
                <w:color w:val="auto"/>
              </w:rPr>
            </w:pPr>
            <w:r>
              <w:rPr>
                <w:rFonts w:ascii="Times New Roman" w:hAnsi="Times New Roman" w:eastAsia="SimSun"/>
                <w:b w:val="0"/>
                <w:color w:val="auto"/>
                <w:sz w:val="21"/>
              </w:rPr>
              <w:t>重复率</w:t>
            </w:r>
          </w:p>
        </w:tc>
      </w:tr>
      <w:tr w14:paraId="7C6C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511170F">
            <w:pPr>
              <w:spacing w:after="0" w:line="400" w:lineRule="exact"/>
              <w:ind w:firstLine="0" w:firstLineChars="0"/>
              <w:jc w:val="center"/>
              <w:rPr>
                <w:color w:val="auto"/>
              </w:rPr>
            </w:pPr>
            <w:r>
              <w:rPr>
                <w:rFonts w:ascii="Times New Roman" w:hAnsi="Times New Roman" w:eastAsia="SimSun"/>
                <w:b w:val="0"/>
                <w:color w:val="auto"/>
                <w:sz w:val="21"/>
              </w:rPr>
              <w:t>排放记录表</w:t>
            </w:r>
          </w:p>
        </w:tc>
        <w:tc>
          <w:tcPr>
            <w:tcW w:w="1701" w:type="dxa"/>
          </w:tcPr>
          <w:p w14:paraId="1A6ED101">
            <w:pPr>
              <w:spacing w:after="0" w:line="400" w:lineRule="exact"/>
              <w:ind w:firstLine="0" w:firstLineChars="0"/>
              <w:jc w:val="center"/>
              <w:rPr>
                <w:color w:val="auto"/>
              </w:rPr>
            </w:pPr>
            <w:r>
              <w:rPr>
                <w:rFonts w:ascii="Times New Roman" w:hAnsi="Times New Roman" w:eastAsia="SimSun"/>
                <w:b w:val="0"/>
                <w:color w:val="auto"/>
                <w:sz w:val="21"/>
              </w:rPr>
              <w:t>5420</w:t>
            </w:r>
          </w:p>
        </w:tc>
        <w:tc>
          <w:tcPr>
            <w:tcW w:w="1701" w:type="dxa"/>
          </w:tcPr>
          <w:p w14:paraId="64BB2B8B">
            <w:pPr>
              <w:spacing w:after="0" w:line="400" w:lineRule="exact"/>
              <w:ind w:firstLine="0" w:firstLineChars="0"/>
              <w:jc w:val="center"/>
              <w:rPr>
                <w:color w:val="auto"/>
              </w:rPr>
            </w:pPr>
            <w:r>
              <w:rPr>
                <w:rFonts w:ascii="Times New Roman" w:hAnsi="Times New Roman" w:eastAsia="SimSun"/>
                <w:b w:val="0"/>
                <w:color w:val="auto"/>
                <w:sz w:val="21"/>
              </w:rPr>
              <w:t>234</w:t>
            </w:r>
          </w:p>
        </w:tc>
        <w:tc>
          <w:tcPr>
            <w:tcW w:w="1701" w:type="dxa"/>
          </w:tcPr>
          <w:p w14:paraId="45E97269">
            <w:pPr>
              <w:spacing w:after="0" w:line="400" w:lineRule="exact"/>
              <w:ind w:firstLine="0" w:firstLineChars="0"/>
              <w:jc w:val="center"/>
              <w:rPr>
                <w:color w:val="auto"/>
              </w:rPr>
            </w:pPr>
            <w:r>
              <w:rPr>
                <w:rFonts w:ascii="Times New Roman" w:hAnsi="Times New Roman" w:eastAsia="SimSun"/>
                <w:b w:val="0"/>
                <w:color w:val="auto"/>
                <w:sz w:val="21"/>
              </w:rPr>
              <w:t>5186</w:t>
            </w:r>
          </w:p>
        </w:tc>
        <w:tc>
          <w:tcPr>
            <w:tcW w:w="1701" w:type="dxa"/>
          </w:tcPr>
          <w:p w14:paraId="7C02E0B3">
            <w:pPr>
              <w:spacing w:after="0" w:line="400" w:lineRule="exact"/>
              <w:ind w:firstLine="0" w:firstLineChars="0"/>
              <w:jc w:val="center"/>
              <w:rPr>
                <w:color w:val="auto"/>
              </w:rPr>
            </w:pPr>
            <w:r>
              <w:rPr>
                <w:rFonts w:ascii="Times New Roman" w:hAnsi="Times New Roman" w:eastAsia="SimSun"/>
                <w:b w:val="0"/>
                <w:color w:val="auto"/>
                <w:sz w:val="21"/>
              </w:rPr>
              <w:t>4.3%</w:t>
            </w:r>
          </w:p>
        </w:tc>
      </w:tr>
      <w:tr w14:paraId="0583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C9CABD9">
            <w:pPr>
              <w:spacing w:after="0" w:line="400" w:lineRule="exact"/>
              <w:ind w:firstLine="0" w:firstLineChars="0"/>
              <w:jc w:val="center"/>
              <w:rPr>
                <w:color w:val="auto"/>
              </w:rPr>
            </w:pPr>
            <w:r>
              <w:rPr>
                <w:rFonts w:ascii="Times New Roman" w:hAnsi="Times New Roman" w:eastAsia="SimSun"/>
                <w:b w:val="0"/>
                <w:color w:val="auto"/>
                <w:sz w:val="21"/>
              </w:rPr>
              <w:t>预测结果表</w:t>
            </w:r>
          </w:p>
        </w:tc>
        <w:tc>
          <w:tcPr>
            <w:tcW w:w="1701" w:type="dxa"/>
          </w:tcPr>
          <w:p w14:paraId="6E4A353E">
            <w:pPr>
              <w:spacing w:after="0" w:line="400" w:lineRule="exact"/>
              <w:ind w:firstLine="0" w:firstLineChars="0"/>
              <w:jc w:val="center"/>
              <w:rPr>
                <w:color w:val="auto"/>
              </w:rPr>
            </w:pPr>
            <w:r>
              <w:rPr>
                <w:rFonts w:ascii="Times New Roman" w:hAnsi="Times New Roman" w:eastAsia="SimSun"/>
                <w:b w:val="0"/>
                <w:color w:val="auto"/>
                <w:sz w:val="21"/>
              </w:rPr>
              <w:t>385</w:t>
            </w:r>
          </w:p>
        </w:tc>
        <w:tc>
          <w:tcPr>
            <w:tcW w:w="1701" w:type="dxa"/>
          </w:tcPr>
          <w:p w14:paraId="50AC76B2">
            <w:pPr>
              <w:spacing w:after="0" w:line="400" w:lineRule="exact"/>
              <w:ind w:firstLine="0" w:firstLineChars="0"/>
              <w:jc w:val="center"/>
              <w:rPr>
                <w:color w:val="auto"/>
              </w:rPr>
            </w:pPr>
            <w:r>
              <w:rPr>
                <w:rFonts w:ascii="Times New Roman" w:hAnsi="Times New Roman" w:eastAsia="SimSun"/>
                <w:b w:val="0"/>
                <w:color w:val="auto"/>
                <w:sz w:val="21"/>
              </w:rPr>
              <w:t>23</w:t>
            </w:r>
          </w:p>
        </w:tc>
        <w:tc>
          <w:tcPr>
            <w:tcW w:w="1701" w:type="dxa"/>
          </w:tcPr>
          <w:p w14:paraId="79003E35">
            <w:pPr>
              <w:spacing w:after="0" w:line="400" w:lineRule="exact"/>
              <w:ind w:firstLine="0" w:firstLineChars="0"/>
              <w:jc w:val="center"/>
              <w:rPr>
                <w:color w:val="auto"/>
              </w:rPr>
            </w:pPr>
            <w:r>
              <w:rPr>
                <w:rFonts w:ascii="Times New Roman" w:hAnsi="Times New Roman" w:eastAsia="SimSun"/>
                <w:b w:val="0"/>
                <w:color w:val="auto"/>
                <w:sz w:val="21"/>
              </w:rPr>
              <w:t>362</w:t>
            </w:r>
          </w:p>
        </w:tc>
        <w:tc>
          <w:tcPr>
            <w:tcW w:w="1701" w:type="dxa"/>
          </w:tcPr>
          <w:p w14:paraId="2512D7C6">
            <w:pPr>
              <w:spacing w:after="0" w:line="400" w:lineRule="exact"/>
              <w:ind w:firstLine="0" w:firstLineChars="0"/>
              <w:jc w:val="center"/>
              <w:rPr>
                <w:color w:val="auto"/>
              </w:rPr>
            </w:pPr>
            <w:r>
              <w:rPr>
                <w:rFonts w:ascii="Times New Roman" w:hAnsi="Times New Roman" w:eastAsia="SimSun"/>
                <w:b w:val="0"/>
                <w:color w:val="auto"/>
                <w:sz w:val="21"/>
              </w:rPr>
              <w:t>6.0%</w:t>
            </w:r>
          </w:p>
        </w:tc>
      </w:tr>
      <w:tr w14:paraId="0F3D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4D34956">
            <w:pPr>
              <w:spacing w:after="0" w:line="400" w:lineRule="exact"/>
              <w:ind w:firstLine="0" w:firstLineChars="0"/>
              <w:jc w:val="center"/>
              <w:rPr>
                <w:color w:val="auto"/>
              </w:rPr>
            </w:pPr>
            <w:r>
              <w:rPr>
                <w:rFonts w:ascii="Times New Roman" w:hAnsi="Times New Roman" w:eastAsia="SimSun"/>
                <w:b w:val="0"/>
                <w:color w:val="auto"/>
                <w:sz w:val="21"/>
              </w:rPr>
              <w:t>预警记录表</w:t>
            </w:r>
          </w:p>
        </w:tc>
        <w:tc>
          <w:tcPr>
            <w:tcW w:w="1701" w:type="dxa"/>
          </w:tcPr>
          <w:p w14:paraId="69501A6B">
            <w:pPr>
              <w:spacing w:after="0" w:line="400" w:lineRule="exact"/>
              <w:ind w:firstLine="0" w:firstLineChars="0"/>
              <w:jc w:val="center"/>
              <w:rPr>
                <w:color w:val="auto"/>
              </w:rPr>
            </w:pPr>
            <w:r>
              <w:rPr>
                <w:rFonts w:ascii="Times New Roman" w:hAnsi="Times New Roman" w:eastAsia="SimSun"/>
                <w:b w:val="0"/>
                <w:color w:val="auto"/>
                <w:sz w:val="21"/>
              </w:rPr>
              <w:t>210</w:t>
            </w:r>
          </w:p>
        </w:tc>
        <w:tc>
          <w:tcPr>
            <w:tcW w:w="1701" w:type="dxa"/>
          </w:tcPr>
          <w:p w14:paraId="57D7EF91">
            <w:pPr>
              <w:spacing w:after="0" w:line="400" w:lineRule="exact"/>
              <w:ind w:firstLine="0" w:firstLineChars="0"/>
              <w:jc w:val="center"/>
              <w:rPr>
                <w:color w:val="auto"/>
              </w:rPr>
            </w:pPr>
            <w:r>
              <w:rPr>
                <w:rFonts w:ascii="Times New Roman" w:hAnsi="Times New Roman" w:eastAsia="SimSun"/>
                <w:b w:val="0"/>
                <w:color w:val="auto"/>
                <w:sz w:val="21"/>
              </w:rPr>
              <w:t>12</w:t>
            </w:r>
          </w:p>
        </w:tc>
        <w:tc>
          <w:tcPr>
            <w:tcW w:w="1701" w:type="dxa"/>
          </w:tcPr>
          <w:p w14:paraId="43972B5C">
            <w:pPr>
              <w:spacing w:after="0" w:line="400" w:lineRule="exact"/>
              <w:ind w:firstLine="0" w:firstLineChars="0"/>
              <w:jc w:val="center"/>
              <w:rPr>
                <w:color w:val="auto"/>
              </w:rPr>
            </w:pPr>
            <w:r>
              <w:rPr>
                <w:rFonts w:ascii="Times New Roman" w:hAnsi="Times New Roman" w:eastAsia="SimSun"/>
                <w:b w:val="0"/>
                <w:color w:val="auto"/>
                <w:sz w:val="21"/>
              </w:rPr>
              <w:t>198</w:t>
            </w:r>
          </w:p>
        </w:tc>
        <w:tc>
          <w:tcPr>
            <w:tcW w:w="1701" w:type="dxa"/>
          </w:tcPr>
          <w:p w14:paraId="1496175B">
            <w:pPr>
              <w:spacing w:after="0" w:line="400" w:lineRule="exact"/>
              <w:ind w:firstLine="0" w:firstLineChars="0"/>
              <w:jc w:val="center"/>
              <w:rPr>
                <w:color w:val="auto"/>
              </w:rPr>
            </w:pPr>
            <w:r>
              <w:rPr>
                <w:rFonts w:ascii="Times New Roman" w:hAnsi="Times New Roman" w:eastAsia="SimSun"/>
                <w:b w:val="0"/>
                <w:color w:val="auto"/>
                <w:sz w:val="21"/>
              </w:rPr>
              <w:t>5.7%</w:t>
            </w:r>
          </w:p>
        </w:tc>
      </w:tr>
      <w:tr w14:paraId="40905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4557D39">
            <w:pPr>
              <w:spacing w:after="0" w:line="400" w:lineRule="exact"/>
              <w:ind w:firstLine="0" w:firstLineChars="0"/>
              <w:jc w:val="center"/>
              <w:rPr>
                <w:color w:val="auto"/>
              </w:rPr>
            </w:pPr>
            <w:r>
              <w:rPr>
                <w:rFonts w:ascii="Times New Roman" w:hAnsi="Times New Roman" w:eastAsia="SimSun"/>
                <w:b w:val="0"/>
                <w:color w:val="auto"/>
                <w:sz w:val="21"/>
              </w:rPr>
              <w:t>操作日志表</w:t>
            </w:r>
          </w:p>
        </w:tc>
        <w:tc>
          <w:tcPr>
            <w:tcW w:w="1701" w:type="dxa"/>
          </w:tcPr>
          <w:p w14:paraId="674B1A92">
            <w:pPr>
              <w:spacing w:after="0" w:line="400" w:lineRule="exact"/>
              <w:ind w:firstLine="0" w:firstLineChars="0"/>
              <w:jc w:val="center"/>
              <w:rPr>
                <w:color w:val="auto"/>
              </w:rPr>
            </w:pPr>
            <w:r>
              <w:rPr>
                <w:rFonts w:ascii="Times New Roman" w:hAnsi="Times New Roman" w:eastAsia="SimSun"/>
                <w:b w:val="0"/>
                <w:color w:val="auto"/>
                <w:sz w:val="21"/>
              </w:rPr>
              <w:t>1580</w:t>
            </w:r>
          </w:p>
        </w:tc>
        <w:tc>
          <w:tcPr>
            <w:tcW w:w="1701" w:type="dxa"/>
          </w:tcPr>
          <w:p w14:paraId="7AE1D4B6">
            <w:pPr>
              <w:spacing w:after="0" w:line="400" w:lineRule="exact"/>
              <w:ind w:firstLine="0" w:firstLineChars="0"/>
              <w:jc w:val="center"/>
              <w:rPr>
                <w:color w:val="auto"/>
              </w:rPr>
            </w:pPr>
            <w:r>
              <w:rPr>
                <w:rFonts w:ascii="Times New Roman" w:hAnsi="Times New Roman" w:eastAsia="SimSun"/>
                <w:b w:val="0"/>
                <w:color w:val="auto"/>
                <w:sz w:val="21"/>
              </w:rPr>
              <w:t>60</w:t>
            </w:r>
          </w:p>
        </w:tc>
        <w:tc>
          <w:tcPr>
            <w:tcW w:w="1701" w:type="dxa"/>
          </w:tcPr>
          <w:p w14:paraId="0BD27243">
            <w:pPr>
              <w:spacing w:after="0" w:line="400" w:lineRule="exact"/>
              <w:ind w:firstLine="0" w:firstLineChars="0"/>
              <w:jc w:val="center"/>
              <w:rPr>
                <w:color w:val="auto"/>
              </w:rPr>
            </w:pPr>
            <w:r>
              <w:rPr>
                <w:rFonts w:ascii="Times New Roman" w:hAnsi="Times New Roman" w:eastAsia="SimSun"/>
                <w:b w:val="0"/>
                <w:color w:val="auto"/>
                <w:sz w:val="21"/>
              </w:rPr>
              <w:t>1520</w:t>
            </w:r>
          </w:p>
        </w:tc>
        <w:tc>
          <w:tcPr>
            <w:tcW w:w="1701" w:type="dxa"/>
          </w:tcPr>
          <w:p w14:paraId="78963614">
            <w:pPr>
              <w:spacing w:after="0" w:line="400" w:lineRule="exact"/>
              <w:ind w:firstLine="0" w:firstLineChars="0"/>
              <w:jc w:val="center"/>
              <w:rPr>
                <w:color w:val="auto"/>
              </w:rPr>
            </w:pPr>
            <w:r>
              <w:rPr>
                <w:rFonts w:ascii="Times New Roman" w:hAnsi="Times New Roman" w:eastAsia="SimSun"/>
                <w:b w:val="0"/>
                <w:color w:val="auto"/>
                <w:sz w:val="21"/>
              </w:rPr>
              <w:t>3.8%</w:t>
            </w:r>
          </w:p>
        </w:tc>
      </w:tr>
    </w:tbl>
    <w:p w14:paraId="77E7A084">
      <w:pPr>
        <w:pStyle w:val="4"/>
        <w:keepNext/>
        <w:keepLines/>
        <w:spacing w:before="312" w:beforeLines="100" w:after="312" w:afterLines="100" w:line="400" w:lineRule="exact"/>
        <w:ind w:firstLine="0" w:firstLineChars="0"/>
        <w:jc w:val="left"/>
        <w:rPr>
          <w:color w:val="auto"/>
        </w:rPr>
      </w:pPr>
      <w:bookmarkStart w:id="24" w:name="_Toc8552"/>
      <w:r>
        <w:rPr>
          <w:rFonts w:ascii="Times New Roman" w:hAnsi="Times New Roman" w:eastAsia="SimSun"/>
          <w:b/>
          <w:color w:val="auto"/>
          <w:sz w:val="28"/>
        </w:rPr>
        <w:t>3.3 数据存储</w:t>
      </w:r>
      <w:bookmarkEnd w:id="24"/>
    </w:p>
    <w:p w14:paraId="5086B3AD">
      <w:pPr>
        <w:spacing w:line="400" w:lineRule="exact"/>
        <w:ind w:firstLine="480" w:firstLineChars="200"/>
        <w:jc w:val="both"/>
        <w:rPr>
          <w:color w:val="auto"/>
        </w:rPr>
      </w:pPr>
      <w:r>
        <w:rPr>
          <w:rFonts w:ascii="Times New Roman" w:hAnsi="Times New Roman" w:eastAsia="SimSun"/>
          <w:b w:val="0"/>
          <w:color w:val="auto"/>
          <w:sz w:val="24"/>
        </w:rPr>
        <w:t>本系统基于Django ORM设计了完整的数据库存储方案，使用SQLite关系型数据库进行数据持久化存储。系统共设计了10张数据表，涵盖用户管理、排放数据、预警管理和预测分析四个业务域。在数据库设计过程中，本系统严格遵循关系数据库的第三范式（3NF），通过合理的表结构拆分和外键约束设计，消除了数据冗余和更新异常，确保数据的一致性和完整性。各数据表的功能说明如表3-5所示。</w:t>
      </w:r>
    </w:p>
    <w:p w14:paraId="1D432109">
      <w:pPr>
        <w:spacing w:line="400" w:lineRule="exact"/>
        <w:rPr>
          <w:color w:val="auto"/>
        </w:rPr>
      </w:pPr>
    </w:p>
    <w:p w14:paraId="14ACED48">
      <w:pPr>
        <w:spacing w:line="400" w:lineRule="exact"/>
        <w:ind w:firstLine="0" w:firstLineChars="0"/>
        <w:jc w:val="center"/>
        <w:rPr>
          <w:color w:val="auto"/>
        </w:rPr>
      </w:pPr>
      <w:r>
        <w:rPr>
          <w:rFonts w:ascii="Times New Roman" w:hAnsi="Times New Roman" w:eastAsia="KaiTi"/>
          <w:b w:val="0"/>
          <w:color w:val="auto"/>
          <w:sz w:val="21"/>
        </w:rPr>
        <w:t>表3-5 系统数据库表结构汇总</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491"/>
        <w:gridCol w:w="2072"/>
        <w:gridCol w:w="2086"/>
      </w:tblGrid>
      <w:tr w14:paraId="22F0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6" w:type="dxa"/>
          </w:tcPr>
          <w:p w14:paraId="1D04A0CB">
            <w:pPr>
              <w:spacing w:after="0" w:line="400" w:lineRule="exact"/>
              <w:ind w:firstLine="0" w:firstLineChars="0"/>
              <w:jc w:val="center"/>
              <w:rPr>
                <w:color w:val="auto"/>
              </w:rPr>
            </w:pPr>
            <w:r>
              <w:rPr>
                <w:rFonts w:ascii="Times New Roman" w:hAnsi="Times New Roman" w:eastAsia="SimSun"/>
                <w:b w:val="0"/>
                <w:color w:val="auto"/>
                <w:sz w:val="21"/>
              </w:rPr>
              <w:t>序号</w:t>
            </w:r>
          </w:p>
        </w:tc>
        <w:tc>
          <w:tcPr>
            <w:tcW w:w="2126" w:type="dxa"/>
          </w:tcPr>
          <w:p w14:paraId="7B6230F5">
            <w:pPr>
              <w:spacing w:after="0" w:line="400" w:lineRule="exact"/>
              <w:ind w:firstLine="0" w:firstLineChars="0"/>
              <w:jc w:val="center"/>
              <w:rPr>
                <w:color w:val="auto"/>
              </w:rPr>
            </w:pPr>
            <w:r>
              <w:rPr>
                <w:rFonts w:ascii="Times New Roman" w:hAnsi="Times New Roman" w:eastAsia="SimSun"/>
                <w:b w:val="0"/>
                <w:color w:val="auto"/>
                <w:sz w:val="21"/>
              </w:rPr>
              <w:t>表名</w:t>
            </w:r>
          </w:p>
        </w:tc>
        <w:tc>
          <w:tcPr>
            <w:tcW w:w="2126" w:type="dxa"/>
          </w:tcPr>
          <w:p w14:paraId="752A4253">
            <w:pPr>
              <w:spacing w:after="0" w:line="400" w:lineRule="exact"/>
              <w:ind w:firstLine="0" w:firstLineChars="0"/>
              <w:jc w:val="center"/>
              <w:rPr>
                <w:color w:val="auto"/>
              </w:rPr>
            </w:pPr>
            <w:r>
              <w:rPr>
                <w:rFonts w:ascii="Times New Roman" w:hAnsi="Times New Roman" w:eastAsia="SimSun"/>
                <w:b w:val="0"/>
                <w:color w:val="auto"/>
                <w:sz w:val="21"/>
              </w:rPr>
              <w:t>所属模块</w:t>
            </w:r>
          </w:p>
        </w:tc>
        <w:tc>
          <w:tcPr>
            <w:tcW w:w="2126" w:type="dxa"/>
          </w:tcPr>
          <w:p w14:paraId="62BECD0B">
            <w:pPr>
              <w:spacing w:after="0" w:line="400" w:lineRule="exact"/>
              <w:ind w:firstLine="0" w:firstLineChars="0"/>
              <w:jc w:val="center"/>
              <w:rPr>
                <w:color w:val="auto"/>
              </w:rPr>
            </w:pPr>
            <w:r>
              <w:rPr>
                <w:rFonts w:ascii="Times New Roman" w:hAnsi="Times New Roman" w:eastAsia="SimSun"/>
                <w:b w:val="0"/>
                <w:color w:val="auto"/>
                <w:sz w:val="21"/>
              </w:rPr>
              <w:t>功能说明</w:t>
            </w:r>
          </w:p>
        </w:tc>
      </w:tr>
      <w:tr w14:paraId="5D7B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48DDBFF2">
            <w:pPr>
              <w:spacing w:after="0" w:line="400" w:lineRule="exact"/>
              <w:ind w:firstLine="0" w:firstLineChars="0"/>
              <w:jc w:val="center"/>
              <w:rPr>
                <w:color w:val="auto"/>
              </w:rPr>
            </w:pPr>
            <w:r>
              <w:rPr>
                <w:rFonts w:ascii="Times New Roman" w:hAnsi="Times New Roman" w:eastAsia="SimSun"/>
                <w:b w:val="0"/>
                <w:color w:val="auto"/>
                <w:sz w:val="21"/>
              </w:rPr>
              <w:t>1</w:t>
            </w:r>
          </w:p>
        </w:tc>
        <w:tc>
          <w:tcPr>
            <w:tcW w:w="2126" w:type="dxa"/>
          </w:tcPr>
          <w:p w14:paraId="798B7B51">
            <w:pPr>
              <w:spacing w:after="0" w:line="400" w:lineRule="exact"/>
              <w:ind w:firstLine="0" w:firstLineChars="0"/>
              <w:jc w:val="center"/>
              <w:rPr>
                <w:color w:val="auto"/>
              </w:rPr>
            </w:pPr>
            <w:r>
              <w:rPr>
                <w:rFonts w:ascii="Times New Roman" w:hAnsi="Times New Roman" w:eastAsia="SimSun"/>
                <w:b w:val="0"/>
                <w:color w:val="auto"/>
                <w:sz w:val="21"/>
              </w:rPr>
              <w:t>auth_user</w:t>
            </w:r>
          </w:p>
        </w:tc>
        <w:tc>
          <w:tcPr>
            <w:tcW w:w="2126" w:type="dxa"/>
          </w:tcPr>
          <w:p w14:paraId="7DA5C171">
            <w:pPr>
              <w:spacing w:after="0" w:line="400" w:lineRule="exact"/>
              <w:ind w:firstLine="0" w:firstLineChars="0"/>
              <w:jc w:val="center"/>
              <w:rPr>
                <w:color w:val="auto"/>
              </w:rPr>
            </w:pPr>
            <w:r>
              <w:rPr>
                <w:rFonts w:ascii="Times New Roman" w:hAnsi="Times New Roman" w:eastAsia="SimSun"/>
                <w:b w:val="0"/>
                <w:color w:val="auto"/>
                <w:sz w:val="21"/>
              </w:rPr>
              <w:t>用户管理</w:t>
            </w:r>
          </w:p>
        </w:tc>
        <w:tc>
          <w:tcPr>
            <w:tcW w:w="2126" w:type="dxa"/>
          </w:tcPr>
          <w:p w14:paraId="520787BE">
            <w:pPr>
              <w:spacing w:after="0" w:line="400" w:lineRule="exact"/>
              <w:ind w:firstLine="0" w:firstLineChars="0"/>
              <w:jc w:val="center"/>
              <w:rPr>
                <w:color w:val="auto"/>
              </w:rPr>
            </w:pPr>
            <w:r>
              <w:rPr>
                <w:rFonts w:ascii="Times New Roman" w:hAnsi="Times New Roman" w:eastAsia="SimSun"/>
                <w:b w:val="0"/>
                <w:color w:val="auto"/>
                <w:sz w:val="21"/>
              </w:rPr>
              <w:t>Django内置用户表，存储用户名、密码、邮箱等账户基本信息</w:t>
            </w:r>
          </w:p>
        </w:tc>
      </w:tr>
      <w:tr w14:paraId="4706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C854AC9">
            <w:pPr>
              <w:spacing w:after="0" w:line="400" w:lineRule="exact"/>
              <w:ind w:firstLine="0" w:firstLineChars="0"/>
              <w:jc w:val="center"/>
              <w:rPr>
                <w:color w:val="auto"/>
              </w:rPr>
            </w:pPr>
            <w:r>
              <w:rPr>
                <w:rFonts w:ascii="Times New Roman" w:hAnsi="Times New Roman" w:eastAsia="SimSun"/>
                <w:b w:val="0"/>
                <w:color w:val="auto"/>
                <w:sz w:val="21"/>
              </w:rPr>
              <w:t>2</w:t>
            </w:r>
          </w:p>
        </w:tc>
        <w:tc>
          <w:tcPr>
            <w:tcW w:w="2126" w:type="dxa"/>
          </w:tcPr>
          <w:p w14:paraId="3AE67E8A">
            <w:pPr>
              <w:spacing w:after="0" w:line="400" w:lineRule="exact"/>
              <w:ind w:firstLine="0" w:firstLineChars="0"/>
              <w:jc w:val="center"/>
              <w:rPr>
                <w:color w:val="auto"/>
              </w:rPr>
            </w:pPr>
            <w:r>
              <w:rPr>
                <w:rFonts w:ascii="Times New Roman" w:hAnsi="Times New Roman" w:eastAsia="SimSun"/>
                <w:b w:val="0"/>
                <w:color w:val="auto"/>
                <w:sz w:val="21"/>
              </w:rPr>
              <w:t>users_userprofile</w:t>
            </w:r>
          </w:p>
        </w:tc>
        <w:tc>
          <w:tcPr>
            <w:tcW w:w="2126" w:type="dxa"/>
          </w:tcPr>
          <w:p w14:paraId="7C1EBBFC">
            <w:pPr>
              <w:spacing w:after="0" w:line="400" w:lineRule="exact"/>
              <w:ind w:firstLine="0" w:firstLineChars="0"/>
              <w:jc w:val="center"/>
              <w:rPr>
                <w:color w:val="auto"/>
              </w:rPr>
            </w:pPr>
            <w:r>
              <w:rPr>
                <w:rFonts w:ascii="Times New Roman" w:hAnsi="Times New Roman" w:eastAsia="SimSun"/>
                <w:b w:val="0"/>
                <w:color w:val="auto"/>
                <w:sz w:val="21"/>
              </w:rPr>
              <w:t>用户管理</w:t>
            </w:r>
          </w:p>
        </w:tc>
        <w:tc>
          <w:tcPr>
            <w:tcW w:w="2126" w:type="dxa"/>
          </w:tcPr>
          <w:p w14:paraId="59F06554">
            <w:pPr>
              <w:spacing w:after="0" w:line="400" w:lineRule="exact"/>
              <w:ind w:firstLine="0" w:firstLineChars="0"/>
              <w:jc w:val="center"/>
              <w:rPr>
                <w:color w:val="auto"/>
              </w:rPr>
            </w:pPr>
            <w:r>
              <w:rPr>
                <w:rFonts w:ascii="Times New Roman" w:hAnsi="Times New Roman" w:eastAsia="SimSun"/>
                <w:b w:val="0"/>
                <w:color w:val="auto"/>
                <w:sz w:val="21"/>
              </w:rPr>
              <w:t>用户扩展资料表，存储手机号、所属机构、头像等补充信息</w:t>
            </w:r>
          </w:p>
        </w:tc>
      </w:tr>
      <w:tr w14:paraId="7B5E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5CC96AC3">
            <w:pPr>
              <w:spacing w:after="0" w:line="400" w:lineRule="exact"/>
              <w:ind w:firstLine="0" w:firstLineChars="0"/>
              <w:jc w:val="center"/>
              <w:rPr>
                <w:color w:val="auto"/>
              </w:rPr>
            </w:pPr>
            <w:r>
              <w:rPr>
                <w:rFonts w:ascii="Times New Roman" w:hAnsi="Times New Roman" w:eastAsia="SimSun"/>
                <w:b w:val="0"/>
                <w:color w:val="auto"/>
                <w:sz w:val="21"/>
              </w:rPr>
              <w:t>3</w:t>
            </w:r>
          </w:p>
        </w:tc>
        <w:tc>
          <w:tcPr>
            <w:tcW w:w="2126" w:type="dxa"/>
          </w:tcPr>
          <w:p w14:paraId="5A49C1B3">
            <w:pPr>
              <w:spacing w:after="0" w:line="400" w:lineRule="exact"/>
              <w:ind w:firstLine="0" w:firstLineChars="0"/>
              <w:jc w:val="center"/>
              <w:rPr>
                <w:color w:val="auto"/>
              </w:rPr>
            </w:pPr>
            <w:r>
              <w:rPr>
                <w:rFonts w:ascii="Times New Roman" w:hAnsi="Times New Roman" w:eastAsia="SimSun"/>
                <w:b w:val="0"/>
                <w:color w:val="auto"/>
                <w:sz w:val="21"/>
              </w:rPr>
              <w:t>users_operationlog</w:t>
            </w:r>
          </w:p>
        </w:tc>
        <w:tc>
          <w:tcPr>
            <w:tcW w:w="2126" w:type="dxa"/>
          </w:tcPr>
          <w:p w14:paraId="78BEFF5E">
            <w:pPr>
              <w:spacing w:after="0" w:line="400" w:lineRule="exact"/>
              <w:ind w:firstLine="0" w:firstLineChars="0"/>
              <w:jc w:val="center"/>
              <w:rPr>
                <w:color w:val="auto"/>
              </w:rPr>
            </w:pPr>
            <w:r>
              <w:rPr>
                <w:rFonts w:ascii="Times New Roman" w:hAnsi="Times New Roman" w:eastAsia="SimSun"/>
                <w:b w:val="0"/>
                <w:color w:val="auto"/>
                <w:sz w:val="21"/>
              </w:rPr>
              <w:t>用户管理</w:t>
            </w:r>
          </w:p>
        </w:tc>
        <w:tc>
          <w:tcPr>
            <w:tcW w:w="2126" w:type="dxa"/>
          </w:tcPr>
          <w:p w14:paraId="611E2630">
            <w:pPr>
              <w:spacing w:after="0" w:line="400" w:lineRule="exact"/>
              <w:ind w:firstLine="0" w:firstLineChars="0"/>
              <w:jc w:val="center"/>
              <w:rPr>
                <w:color w:val="auto"/>
              </w:rPr>
            </w:pPr>
            <w:r>
              <w:rPr>
                <w:rFonts w:ascii="Times New Roman" w:hAnsi="Times New Roman" w:eastAsia="SimSun"/>
                <w:b w:val="0"/>
                <w:color w:val="auto"/>
                <w:sz w:val="21"/>
              </w:rPr>
              <w:t>操作日志表，记录用户在系统中的所有操作行为及IP地址</w:t>
            </w:r>
          </w:p>
        </w:tc>
      </w:tr>
      <w:tr w14:paraId="6D3A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C746DD7">
            <w:pPr>
              <w:spacing w:after="0" w:line="400" w:lineRule="exact"/>
              <w:ind w:firstLine="0" w:firstLineChars="0"/>
              <w:jc w:val="center"/>
              <w:rPr>
                <w:color w:val="auto"/>
              </w:rPr>
            </w:pPr>
            <w:r>
              <w:rPr>
                <w:rFonts w:ascii="Times New Roman" w:hAnsi="Times New Roman" w:eastAsia="SimSun"/>
                <w:b w:val="0"/>
                <w:color w:val="auto"/>
                <w:sz w:val="21"/>
              </w:rPr>
              <w:t>4</w:t>
            </w:r>
          </w:p>
        </w:tc>
        <w:tc>
          <w:tcPr>
            <w:tcW w:w="2126" w:type="dxa"/>
          </w:tcPr>
          <w:p w14:paraId="5C8B12A7">
            <w:pPr>
              <w:spacing w:after="0" w:line="400" w:lineRule="exact"/>
              <w:ind w:firstLine="0" w:firstLineChars="0"/>
              <w:jc w:val="center"/>
              <w:rPr>
                <w:color w:val="auto"/>
              </w:rPr>
            </w:pPr>
            <w:r>
              <w:rPr>
                <w:rFonts w:ascii="Times New Roman" w:hAnsi="Times New Roman" w:eastAsia="SimSun"/>
                <w:b w:val="0"/>
                <w:color w:val="auto"/>
                <w:sz w:val="21"/>
              </w:rPr>
              <w:t>emissions_emissionsource</w:t>
            </w:r>
          </w:p>
        </w:tc>
        <w:tc>
          <w:tcPr>
            <w:tcW w:w="2126" w:type="dxa"/>
          </w:tcPr>
          <w:p w14:paraId="59CE878A">
            <w:pPr>
              <w:spacing w:after="0" w:line="400" w:lineRule="exact"/>
              <w:ind w:firstLine="0" w:firstLineChars="0"/>
              <w:jc w:val="center"/>
              <w:rPr>
                <w:color w:val="auto"/>
              </w:rPr>
            </w:pPr>
            <w:r>
              <w:rPr>
                <w:rFonts w:ascii="Times New Roman" w:hAnsi="Times New Roman" w:eastAsia="SimSun"/>
                <w:b w:val="0"/>
                <w:color w:val="auto"/>
                <w:sz w:val="21"/>
              </w:rPr>
              <w:t>排放数据</w:t>
            </w:r>
          </w:p>
        </w:tc>
        <w:tc>
          <w:tcPr>
            <w:tcW w:w="2126" w:type="dxa"/>
          </w:tcPr>
          <w:p w14:paraId="74415A9F">
            <w:pPr>
              <w:spacing w:after="0" w:line="400" w:lineRule="exact"/>
              <w:ind w:firstLine="0" w:firstLineChars="0"/>
              <w:jc w:val="center"/>
              <w:rPr>
                <w:color w:val="auto"/>
              </w:rPr>
            </w:pPr>
            <w:r>
              <w:rPr>
                <w:rFonts w:ascii="Times New Roman" w:hAnsi="Times New Roman" w:eastAsia="SimSun"/>
                <w:b w:val="0"/>
                <w:color w:val="auto"/>
                <w:sz w:val="21"/>
              </w:rPr>
              <w:t>排放源分类表，定义能源活动、工业生产等排放源类别</w:t>
            </w:r>
          </w:p>
        </w:tc>
      </w:tr>
      <w:tr w14:paraId="27FC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6CBCFB9A">
            <w:pPr>
              <w:spacing w:after="0" w:line="400" w:lineRule="exact"/>
              <w:ind w:firstLine="0" w:firstLineChars="0"/>
              <w:jc w:val="center"/>
              <w:rPr>
                <w:color w:val="auto"/>
              </w:rPr>
            </w:pPr>
            <w:r>
              <w:rPr>
                <w:rFonts w:ascii="Times New Roman" w:hAnsi="Times New Roman" w:eastAsia="SimSun"/>
                <w:b w:val="0"/>
                <w:color w:val="auto"/>
                <w:sz w:val="21"/>
              </w:rPr>
              <w:t>5</w:t>
            </w:r>
          </w:p>
        </w:tc>
        <w:tc>
          <w:tcPr>
            <w:tcW w:w="2126" w:type="dxa"/>
          </w:tcPr>
          <w:p w14:paraId="10814EDB">
            <w:pPr>
              <w:spacing w:after="0" w:line="400" w:lineRule="exact"/>
              <w:ind w:firstLine="0" w:firstLineChars="0"/>
              <w:jc w:val="center"/>
              <w:rPr>
                <w:color w:val="auto"/>
              </w:rPr>
            </w:pPr>
            <w:r>
              <w:rPr>
                <w:rFonts w:ascii="Times New Roman" w:hAnsi="Times New Roman" w:eastAsia="SimSun"/>
                <w:b w:val="0"/>
                <w:color w:val="auto"/>
                <w:sz w:val="21"/>
              </w:rPr>
              <w:t>emissions_region</w:t>
            </w:r>
          </w:p>
        </w:tc>
        <w:tc>
          <w:tcPr>
            <w:tcW w:w="2126" w:type="dxa"/>
          </w:tcPr>
          <w:p w14:paraId="67FF625B">
            <w:pPr>
              <w:spacing w:after="0" w:line="400" w:lineRule="exact"/>
              <w:ind w:firstLine="0" w:firstLineChars="0"/>
              <w:jc w:val="center"/>
              <w:rPr>
                <w:color w:val="auto"/>
              </w:rPr>
            </w:pPr>
            <w:r>
              <w:rPr>
                <w:rFonts w:ascii="Times New Roman" w:hAnsi="Times New Roman" w:eastAsia="SimSun"/>
                <w:b w:val="0"/>
                <w:color w:val="auto"/>
                <w:sz w:val="21"/>
              </w:rPr>
              <w:t>排放数据</w:t>
            </w:r>
          </w:p>
        </w:tc>
        <w:tc>
          <w:tcPr>
            <w:tcW w:w="2126" w:type="dxa"/>
          </w:tcPr>
          <w:p w14:paraId="6788DD58">
            <w:pPr>
              <w:spacing w:after="0" w:line="400" w:lineRule="exact"/>
              <w:ind w:firstLine="0" w:firstLineChars="0"/>
              <w:jc w:val="center"/>
              <w:rPr>
                <w:color w:val="auto"/>
              </w:rPr>
            </w:pPr>
            <w:r>
              <w:rPr>
                <w:rFonts w:ascii="Times New Roman" w:hAnsi="Times New Roman" w:eastAsia="SimSun"/>
                <w:b w:val="0"/>
                <w:color w:val="auto"/>
                <w:sz w:val="21"/>
              </w:rPr>
              <w:t>地区表，存储31个省级行政区信息，支持层级结构</w:t>
            </w:r>
          </w:p>
        </w:tc>
      </w:tr>
      <w:tr w14:paraId="52FD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61E7A3F3">
            <w:pPr>
              <w:spacing w:after="0" w:line="400" w:lineRule="exact"/>
              <w:ind w:firstLine="0" w:firstLineChars="0"/>
              <w:jc w:val="center"/>
              <w:rPr>
                <w:color w:val="auto"/>
              </w:rPr>
            </w:pPr>
            <w:r>
              <w:rPr>
                <w:rFonts w:ascii="Times New Roman" w:hAnsi="Times New Roman" w:eastAsia="SimSun"/>
                <w:b w:val="0"/>
                <w:color w:val="auto"/>
                <w:sz w:val="21"/>
              </w:rPr>
              <w:t>6</w:t>
            </w:r>
          </w:p>
        </w:tc>
        <w:tc>
          <w:tcPr>
            <w:tcW w:w="2126" w:type="dxa"/>
          </w:tcPr>
          <w:p w14:paraId="4C190D9C">
            <w:pPr>
              <w:spacing w:after="0" w:line="400" w:lineRule="exact"/>
              <w:ind w:firstLine="0" w:firstLineChars="0"/>
              <w:jc w:val="center"/>
              <w:rPr>
                <w:color w:val="auto"/>
              </w:rPr>
            </w:pPr>
            <w:r>
              <w:rPr>
                <w:rFonts w:ascii="Times New Roman" w:hAnsi="Times New Roman" w:eastAsia="SimSun"/>
                <w:b w:val="0"/>
                <w:color w:val="auto"/>
                <w:sz w:val="21"/>
              </w:rPr>
              <w:t>emissions_industry</w:t>
            </w:r>
          </w:p>
        </w:tc>
        <w:tc>
          <w:tcPr>
            <w:tcW w:w="2126" w:type="dxa"/>
          </w:tcPr>
          <w:p w14:paraId="56430AF9">
            <w:pPr>
              <w:spacing w:after="0" w:line="400" w:lineRule="exact"/>
              <w:ind w:firstLine="0" w:firstLineChars="0"/>
              <w:jc w:val="center"/>
              <w:rPr>
                <w:color w:val="auto"/>
              </w:rPr>
            </w:pPr>
            <w:r>
              <w:rPr>
                <w:rFonts w:ascii="Times New Roman" w:hAnsi="Times New Roman" w:eastAsia="SimSun"/>
                <w:b w:val="0"/>
                <w:color w:val="auto"/>
                <w:sz w:val="21"/>
              </w:rPr>
              <w:t>排放数据</w:t>
            </w:r>
          </w:p>
        </w:tc>
        <w:tc>
          <w:tcPr>
            <w:tcW w:w="2126" w:type="dxa"/>
          </w:tcPr>
          <w:p w14:paraId="5D2DDAB7">
            <w:pPr>
              <w:spacing w:after="0" w:line="400" w:lineRule="exact"/>
              <w:ind w:firstLine="0" w:firstLineChars="0"/>
              <w:jc w:val="center"/>
              <w:rPr>
                <w:color w:val="auto"/>
              </w:rPr>
            </w:pPr>
            <w:r>
              <w:rPr>
                <w:rFonts w:ascii="Times New Roman" w:hAnsi="Times New Roman" w:eastAsia="SimSun"/>
                <w:b w:val="0"/>
                <w:color w:val="auto"/>
                <w:sz w:val="21"/>
              </w:rPr>
              <w:t>行业分类表，定义20个子行业及其所属排放源关系</w:t>
            </w:r>
          </w:p>
        </w:tc>
      </w:tr>
      <w:tr w14:paraId="17EB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644DF85C">
            <w:pPr>
              <w:spacing w:after="0" w:line="400" w:lineRule="exact"/>
              <w:ind w:firstLine="0" w:firstLineChars="0"/>
              <w:jc w:val="center"/>
              <w:rPr>
                <w:color w:val="auto"/>
              </w:rPr>
            </w:pPr>
            <w:r>
              <w:rPr>
                <w:rFonts w:ascii="Times New Roman" w:hAnsi="Times New Roman" w:eastAsia="SimSun"/>
                <w:b w:val="0"/>
                <w:color w:val="auto"/>
                <w:sz w:val="21"/>
              </w:rPr>
              <w:t>7</w:t>
            </w:r>
          </w:p>
        </w:tc>
        <w:tc>
          <w:tcPr>
            <w:tcW w:w="2126" w:type="dxa"/>
          </w:tcPr>
          <w:p w14:paraId="55E8989D">
            <w:pPr>
              <w:spacing w:after="0" w:line="400" w:lineRule="exact"/>
              <w:ind w:firstLine="0" w:firstLineChars="0"/>
              <w:jc w:val="center"/>
              <w:rPr>
                <w:color w:val="auto"/>
              </w:rPr>
            </w:pPr>
            <w:r>
              <w:rPr>
                <w:rFonts w:ascii="Times New Roman" w:hAnsi="Times New Roman" w:eastAsia="SimSun"/>
                <w:b w:val="0"/>
                <w:color w:val="auto"/>
                <w:sz w:val="21"/>
              </w:rPr>
              <w:t>emissions_emissionrecord</w:t>
            </w:r>
          </w:p>
        </w:tc>
        <w:tc>
          <w:tcPr>
            <w:tcW w:w="2126" w:type="dxa"/>
          </w:tcPr>
          <w:p w14:paraId="633DC786">
            <w:pPr>
              <w:spacing w:after="0" w:line="400" w:lineRule="exact"/>
              <w:ind w:firstLine="0" w:firstLineChars="0"/>
              <w:jc w:val="center"/>
              <w:rPr>
                <w:color w:val="auto"/>
              </w:rPr>
            </w:pPr>
            <w:r>
              <w:rPr>
                <w:rFonts w:ascii="Times New Roman" w:hAnsi="Times New Roman" w:eastAsia="SimSun"/>
                <w:b w:val="0"/>
                <w:color w:val="auto"/>
                <w:sz w:val="21"/>
              </w:rPr>
              <w:t>排放数据</w:t>
            </w:r>
          </w:p>
        </w:tc>
        <w:tc>
          <w:tcPr>
            <w:tcW w:w="2126" w:type="dxa"/>
          </w:tcPr>
          <w:p w14:paraId="09875B00">
            <w:pPr>
              <w:spacing w:after="0" w:line="400" w:lineRule="exact"/>
              <w:ind w:firstLine="0" w:firstLineChars="0"/>
              <w:jc w:val="center"/>
              <w:rPr>
                <w:color w:val="auto"/>
              </w:rPr>
            </w:pPr>
            <w:r>
              <w:rPr>
                <w:rFonts w:ascii="Times New Roman" w:hAnsi="Times New Roman" w:eastAsia="SimSun"/>
                <w:b w:val="0"/>
                <w:color w:val="auto"/>
                <w:sz w:val="21"/>
              </w:rPr>
              <w:t>排放记录表，系统核心数据表，存储碳排放及关联经济指标</w:t>
            </w:r>
          </w:p>
        </w:tc>
      </w:tr>
      <w:tr w14:paraId="5F70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72760CE4">
            <w:pPr>
              <w:spacing w:after="0" w:line="400" w:lineRule="exact"/>
              <w:ind w:firstLine="0" w:firstLineChars="0"/>
              <w:jc w:val="center"/>
              <w:rPr>
                <w:color w:val="auto"/>
              </w:rPr>
            </w:pPr>
            <w:r>
              <w:rPr>
                <w:rFonts w:ascii="Times New Roman" w:hAnsi="Times New Roman" w:eastAsia="SimSun"/>
                <w:b w:val="0"/>
                <w:color w:val="auto"/>
                <w:sz w:val="21"/>
              </w:rPr>
              <w:t>8</w:t>
            </w:r>
          </w:p>
        </w:tc>
        <w:tc>
          <w:tcPr>
            <w:tcW w:w="2126" w:type="dxa"/>
          </w:tcPr>
          <w:p w14:paraId="1E2AD262">
            <w:pPr>
              <w:spacing w:after="0" w:line="400" w:lineRule="exact"/>
              <w:ind w:firstLine="0" w:firstLineChars="0"/>
              <w:jc w:val="center"/>
              <w:rPr>
                <w:color w:val="auto"/>
              </w:rPr>
            </w:pPr>
            <w:r>
              <w:rPr>
                <w:rFonts w:ascii="Times New Roman" w:hAnsi="Times New Roman" w:eastAsia="SimSun"/>
                <w:b w:val="0"/>
                <w:color w:val="auto"/>
                <w:sz w:val="21"/>
              </w:rPr>
              <w:t>alerts_thresholdconfig</w:t>
            </w:r>
          </w:p>
        </w:tc>
        <w:tc>
          <w:tcPr>
            <w:tcW w:w="2126" w:type="dxa"/>
          </w:tcPr>
          <w:p w14:paraId="7D1A8885">
            <w:pPr>
              <w:spacing w:after="0" w:line="400" w:lineRule="exact"/>
              <w:ind w:firstLine="0" w:firstLineChars="0"/>
              <w:jc w:val="center"/>
              <w:rPr>
                <w:color w:val="auto"/>
              </w:rPr>
            </w:pPr>
            <w:r>
              <w:rPr>
                <w:rFonts w:ascii="Times New Roman" w:hAnsi="Times New Roman" w:eastAsia="SimSun"/>
                <w:b w:val="0"/>
                <w:color w:val="auto"/>
                <w:sz w:val="21"/>
              </w:rPr>
              <w:t>预警管理</w:t>
            </w:r>
          </w:p>
        </w:tc>
        <w:tc>
          <w:tcPr>
            <w:tcW w:w="2126" w:type="dxa"/>
          </w:tcPr>
          <w:p w14:paraId="63BF688F">
            <w:pPr>
              <w:spacing w:after="0" w:line="400" w:lineRule="exact"/>
              <w:ind w:firstLine="0" w:firstLineChars="0"/>
              <w:jc w:val="center"/>
              <w:rPr>
                <w:color w:val="auto"/>
              </w:rPr>
            </w:pPr>
            <w:r>
              <w:rPr>
                <w:rFonts w:ascii="Times New Roman" w:hAnsi="Times New Roman" w:eastAsia="SimSun"/>
                <w:b w:val="0"/>
                <w:color w:val="auto"/>
                <w:sz w:val="21"/>
              </w:rPr>
              <w:t>阈值配置表，定义预警规则、阈值方法和预警级别</w:t>
            </w:r>
          </w:p>
        </w:tc>
      </w:tr>
      <w:tr w14:paraId="0706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622FCC63">
            <w:pPr>
              <w:spacing w:after="0" w:line="400" w:lineRule="exact"/>
              <w:ind w:firstLine="0" w:firstLineChars="0"/>
              <w:jc w:val="center"/>
              <w:rPr>
                <w:color w:val="auto"/>
              </w:rPr>
            </w:pPr>
            <w:r>
              <w:rPr>
                <w:rFonts w:ascii="Times New Roman" w:hAnsi="Times New Roman" w:eastAsia="SimSun"/>
                <w:b w:val="0"/>
                <w:color w:val="auto"/>
                <w:sz w:val="21"/>
              </w:rPr>
              <w:t>9</w:t>
            </w:r>
          </w:p>
        </w:tc>
        <w:tc>
          <w:tcPr>
            <w:tcW w:w="2126" w:type="dxa"/>
          </w:tcPr>
          <w:p w14:paraId="43A5AB9B">
            <w:pPr>
              <w:spacing w:after="0" w:line="400" w:lineRule="exact"/>
              <w:ind w:firstLine="0" w:firstLineChars="0"/>
              <w:jc w:val="center"/>
              <w:rPr>
                <w:color w:val="auto"/>
              </w:rPr>
            </w:pPr>
            <w:r>
              <w:rPr>
                <w:rFonts w:ascii="Times New Roman" w:hAnsi="Times New Roman" w:eastAsia="SimSun"/>
                <w:b w:val="0"/>
                <w:color w:val="auto"/>
                <w:sz w:val="21"/>
              </w:rPr>
              <w:t>alerts_alertrecord</w:t>
            </w:r>
          </w:p>
        </w:tc>
        <w:tc>
          <w:tcPr>
            <w:tcW w:w="2126" w:type="dxa"/>
          </w:tcPr>
          <w:p w14:paraId="46B46CC4">
            <w:pPr>
              <w:spacing w:after="0" w:line="400" w:lineRule="exact"/>
              <w:ind w:firstLine="0" w:firstLineChars="0"/>
              <w:jc w:val="center"/>
              <w:rPr>
                <w:color w:val="auto"/>
              </w:rPr>
            </w:pPr>
            <w:r>
              <w:rPr>
                <w:rFonts w:ascii="Times New Roman" w:hAnsi="Times New Roman" w:eastAsia="SimSun"/>
                <w:b w:val="0"/>
                <w:color w:val="auto"/>
                <w:sz w:val="21"/>
              </w:rPr>
              <w:t>预警管理</w:t>
            </w:r>
          </w:p>
        </w:tc>
        <w:tc>
          <w:tcPr>
            <w:tcW w:w="2126" w:type="dxa"/>
          </w:tcPr>
          <w:p w14:paraId="29E0B6EC">
            <w:pPr>
              <w:spacing w:after="0" w:line="400" w:lineRule="exact"/>
              <w:ind w:firstLine="0" w:firstLineChars="0"/>
              <w:jc w:val="center"/>
              <w:rPr>
                <w:color w:val="auto"/>
              </w:rPr>
            </w:pPr>
            <w:r>
              <w:rPr>
                <w:rFonts w:ascii="Times New Roman" w:hAnsi="Times New Roman" w:eastAsia="SimSun"/>
                <w:b w:val="0"/>
                <w:color w:val="auto"/>
                <w:sz w:val="21"/>
              </w:rPr>
              <w:t>预警记录表，记录触发的预警事件及处理状态</w:t>
            </w:r>
          </w:p>
        </w:tc>
      </w:tr>
      <w:tr w14:paraId="3BDA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EFF732C">
            <w:pPr>
              <w:spacing w:after="0" w:line="400" w:lineRule="exact"/>
              <w:ind w:firstLine="0" w:firstLineChars="0"/>
              <w:jc w:val="center"/>
              <w:rPr>
                <w:color w:val="auto"/>
              </w:rPr>
            </w:pPr>
            <w:r>
              <w:rPr>
                <w:rFonts w:ascii="Times New Roman" w:hAnsi="Times New Roman" w:eastAsia="SimSun"/>
                <w:b w:val="0"/>
                <w:color w:val="auto"/>
                <w:sz w:val="21"/>
              </w:rPr>
              <w:t>10</w:t>
            </w:r>
          </w:p>
        </w:tc>
        <w:tc>
          <w:tcPr>
            <w:tcW w:w="2126" w:type="dxa"/>
          </w:tcPr>
          <w:p w14:paraId="3BD607DE">
            <w:pPr>
              <w:spacing w:after="0" w:line="400" w:lineRule="exact"/>
              <w:ind w:firstLine="0" w:firstLineChars="0"/>
              <w:jc w:val="center"/>
              <w:rPr>
                <w:color w:val="auto"/>
              </w:rPr>
            </w:pPr>
            <w:r>
              <w:rPr>
                <w:rFonts w:ascii="Times New Roman" w:hAnsi="Times New Roman" w:eastAsia="SimSun"/>
                <w:b w:val="0"/>
                <w:color w:val="auto"/>
                <w:sz w:val="21"/>
              </w:rPr>
              <w:t>prediction_predictionresult</w:t>
            </w:r>
          </w:p>
        </w:tc>
        <w:tc>
          <w:tcPr>
            <w:tcW w:w="2126" w:type="dxa"/>
          </w:tcPr>
          <w:p w14:paraId="0AF87E85">
            <w:pPr>
              <w:spacing w:after="0" w:line="400" w:lineRule="exact"/>
              <w:ind w:firstLine="0" w:firstLineChars="0"/>
              <w:jc w:val="center"/>
              <w:rPr>
                <w:color w:val="auto"/>
              </w:rPr>
            </w:pPr>
            <w:r>
              <w:rPr>
                <w:rFonts w:ascii="Times New Roman" w:hAnsi="Times New Roman" w:eastAsia="SimSun"/>
                <w:b w:val="0"/>
                <w:color w:val="auto"/>
                <w:sz w:val="21"/>
              </w:rPr>
              <w:t>预测分析</w:t>
            </w:r>
          </w:p>
        </w:tc>
        <w:tc>
          <w:tcPr>
            <w:tcW w:w="2126" w:type="dxa"/>
          </w:tcPr>
          <w:p w14:paraId="32DA3E43">
            <w:pPr>
              <w:spacing w:after="0" w:line="400" w:lineRule="exact"/>
              <w:ind w:firstLine="0" w:firstLineChars="0"/>
              <w:jc w:val="center"/>
              <w:rPr>
                <w:color w:val="auto"/>
              </w:rPr>
            </w:pPr>
            <w:r>
              <w:rPr>
                <w:rFonts w:ascii="Times New Roman" w:hAnsi="Times New Roman" w:eastAsia="SimSun"/>
                <w:b w:val="0"/>
                <w:color w:val="auto"/>
                <w:sz w:val="21"/>
              </w:rPr>
              <w:t>预测结果表，保存预测值、模型类型和评估指标</w:t>
            </w:r>
          </w:p>
        </w:tc>
      </w:tr>
    </w:tbl>
    <w:p w14:paraId="2157C591">
      <w:pPr>
        <w:spacing w:line="400" w:lineRule="exact"/>
        <w:ind w:firstLine="480" w:firstLineChars="200"/>
        <w:jc w:val="both"/>
        <w:rPr>
          <w:color w:val="auto"/>
        </w:rPr>
      </w:pPr>
      <w:r>
        <w:rPr>
          <w:rFonts w:ascii="Times New Roman" w:hAnsi="Times New Roman" w:eastAsia="SimSun"/>
          <w:b w:val="0"/>
          <w:color w:val="auto"/>
          <w:sz w:val="24"/>
        </w:rPr>
        <w:t>在数据表之间的关联关系设计中，排放记录表（emissions_emissionrecord）作为系统的核心数据表，通过外键关联了地区表、行业表和排放源表三个维度表，形成典型的星型模式（Star Schema）结构。这种设计使得系统能够灵活地按照不同维度组合进行数据聚合查询，支撑多维度交叉分析的业务需求。用户管理域中，用户扩展资料表通过一对一外键关联Django内置用户表，操作日志表通过外键记录操作用户的关联关系。预警管理域中，预警记录表同时关联排放记录表和阈值配置表，实现了"排放数据—阈值规则—预警事件"的完整预警链路。预测分析域中，预测结果表通过created_by字段关联创建用户，支持按用户维度查询预测历史。</w:t>
      </w:r>
    </w:p>
    <w:p w14:paraId="3D81EE73">
      <w:pPr>
        <w:spacing w:line="400" w:lineRule="exact"/>
        <w:ind w:firstLine="480" w:firstLineChars="200"/>
        <w:jc w:val="both"/>
        <w:rPr>
          <w:color w:val="auto"/>
        </w:rPr>
      </w:pPr>
      <w:r>
        <w:rPr>
          <w:rFonts w:ascii="Times New Roman" w:hAnsi="Times New Roman" w:eastAsia="SimSun"/>
          <w:b w:val="0"/>
          <w:color w:val="auto"/>
          <w:sz w:val="24"/>
        </w:rPr>
        <w:t>在索引设计方面，系统对排放记录表中的年份（year）、季度（quarter）字段建立了联合索引，对地区（region_id）、行业（industry_id）和排放源（source_id）字段分别建立了单列索引，以加速常见的筛选和聚合查询操作。预警记录表对创建时间（created_at）和是否已读（is_read）字段建立了索引，以支撑预警列表的排序和筛选功能。通过合理的索引设计，系统在包含近5000条排放记录的数据量级下，各项查询操作的响应时间均可控制在100毫秒以内，满足了Web应用的实时交互需求。</w:t>
      </w:r>
    </w:p>
    <w:p w14:paraId="1BCE8D6D">
      <w:pPr>
        <w:pStyle w:val="3"/>
        <w:keepNext/>
        <w:keepLines/>
        <w:pageBreakBefore/>
        <w:spacing w:before="312" w:beforeLines="100" w:after="312" w:afterLines="100" w:line="400" w:lineRule="exact"/>
        <w:ind w:firstLine="0" w:firstLineChars="0"/>
        <w:jc w:val="center"/>
        <w:rPr>
          <w:color w:val="auto"/>
        </w:rPr>
      </w:pPr>
      <w:bookmarkStart w:id="25" w:name="_Toc14541"/>
      <w:r>
        <w:rPr>
          <w:rFonts w:ascii="Times New Roman" w:hAnsi="Times New Roman" w:eastAsia="SimHei"/>
          <w:b w:val="0"/>
          <w:color w:val="auto"/>
          <w:sz w:val="32"/>
        </w:rPr>
        <w:t>第4章  可视化分析</w:t>
      </w:r>
      <w:bookmarkEnd w:id="25"/>
    </w:p>
    <w:p w14:paraId="277E04ED">
      <w:pPr>
        <w:spacing w:line="400" w:lineRule="exact"/>
        <w:ind w:firstLine="480" w:firstLineChars="200"/>
        <w:jc w:val="both"/>
        <w:rPr>
          <w:color w:val="auto"/>
        </w:rPr>
      </w:pPr>
      <w:r>
        <w:rPr>
          <w:rFonts w:ascii="Times New Roman" w:hAnsi="Times New Roman" w:eastAsia="SimSun"/>
          <w:b w:val="0"/>
          <w:color w:val="auto"/>
          <w:sz w:val="24"/>
        </w:rPr>
        <w:t>本章从年度排放趋势、排放源结构、地区排放分布、季度排放对比、行业排放结构和碳排放影响因素等6个维度，对碳排放数据进行深入的可视化分析。通过多角度、多层次的数据展示，帮助用户全面理解碳排放的现状特征、变化规律和驱动因素，为科学决策提供数据支撑。数据可视化分析是将抽象的数值数据转化为直观的图形表达的重要手段，在碳排放管理领域，有效的数据可视化能够帮助决策者快速识别排放趋势的拐点、发现异常排放事件、定位重点减排区域和行业，从而制定更加精准的碳减排策略。本平台的可视化分析模块充分发挥了ECharts图表库的交互能力，所有图表均支持鼠标悬停查看详细数值、框选缩放和数据下钻等交互操作。</w:t>
      </w:r>
    </w:p>
    <w:p w14:paraId="1284850B">
      <w:pPr>
        <w:pStyle w:val="4"/>
        <w:keepNext/>
        <w:keepLines/>
        <w:spacing w:before="312" w:beforeLines="100" w:after="312" w:afterLines="100" w:line="400" w:lineRule="exact"/>
        <w:ind w:firstLine="0" w:firstLineChars="0"/>
        <w:jc w:val="left"/>
        <w:rPr>
          <w:color w:val="auto"/>
        </w:rPr>
      </w:pPr>
      <w:bookmarkStart w:id="26" w:name="_Toc869"/>
      <w:r>
        <w:rPr>
          <w:rFonts w:ascii="Times New Roman" w:hAnsi="Times New Roman" w:eastAsia="SimSun"/>
          <w:b/>
          <w:color w:val="auto"/>
          <w:sz w:val="28"/>
        </w:rPr>
        <w:t>4.1 年度碳排放趋势分析</w:t>
      </w:r>
      <w:bookmarkEnd w:id="26"/>
    </w:p>
    <w:p w14:paraId="152F5742">
      <w:pPr>
        <w:spacing w:line="400" w:lineRule="exact"/>
        <w:ind w:firstLine="480" w:firstLineChars="200"/>
        <w:jc w:val="both"/>
        <w:rPr>
          <w:color w:val="auto"/>
        </w:rPr>
      </w:pPr>
      <w:r>
        <w:rPr>
          <w:rFonts w:ascii="Times New Roman" w:hAnsi="Times New Roman" w:eastAsia="SimSun"/>
          <w:b w:val="0"/>
          <w:color w:val="auto"/>
          <w:sz w:val="24"/>
        </w:rPr>
        <w:t>年度碳排放趋势分析是了解碳排放总体变化规律的基础手段。通过对多年度时间序列数据的可视化呈现，可以直观地展示碳排放量的增长速度、变化拐点和趋势方向，为研判碳达峰进程提供重要的数据依据。本系统汇总了2015年至2025年全国碳排放总量数据，绘制了年度排放趋势曲线如图4-1所示。</w:t>
      </w:r>
    </w:p>
    <w:p w14:paraId="26A4A2E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5039995" cy="2997835"/>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5040000" cy="2997997"/>
                    </a:xfrm>
                    <a:prstGeom prst="rect">
                      <a:avLst/>
                    </a:prstGeom>
                  </pic:spPr>
                </pic:pic>
              </a:graphicData>
            </a:graphic>
          </wp:inline>
        </w:drawing>
      </w:r>
    </w:p>
    <w:p w14:paraId="5F21EA63">
      <w:pPr>
        <w:spacing w:line="400" w:lineRule="exact"/>
        <w:rPr>
          <w:color w:val="auto"/>
        </w:rPr>
      </w:pPr>
    </w:p>
    <w:p w14:paraId="281E644A">
      <w:pPr>
        <w:spacing w:line="400" w:lineRule="exact"/>
        <w:ind w:firstLine="0" w:firstLineChars="0"/>
        <w:jc w:val="center"/>
        <w:rPr>
          <w:color w:val="auto"/>
        </w:rPr>
      </w:pPr>
      <w:r>
        <w:rPr>
          <w:rFonts w:ascii="Times New Roman" w:hAnsi="Times New Roman" w:eastAsia="KaiTi"/>
          <w:b w:val="0"/>
          <w:color w:val="auto"/>
          <w:sz w:val="21"/>
        </w:rPr>
        <w:t>图4-1 2015-2025年度碳排放趋势</w:t>
      </w:r>
    </w:p>
    <w:p w14:paraId="2DE5B051">
      <w:pPr>
        <w:spacing w:line="400" w:lineRule="exact"/>
        <w:ind w:firstLine="480" w:firstLineChars="200"/>
        <w:jc w:val="both"/>
        <w:rPr>
          <w:color w:val="auto"/>
        </w:rPr>
      </w:pPr>
      <w:r>
        <w:rPr>
          <w:rFonts w:ascii="Times New Roman" w:hAnsi="Times New Roman" w:eastAsia="SimSun"/>
          <w:b w:val="0"/>
          <w:color w:val="auto"/>
          <w:sz w:val="24"/>
        </w:rPr>
        <w:t>从图4-1可以看出，2015年至2020年期间，全国碳排放总量呈稳步增长态势，年均增长率约为2.5%，这主要与该时期经济快速发展和工业化进程加速有关。2020年之后，排放增速明显放缓，年均增幅降至约0.8%，体现了国家"双碳"政策和产业结构调整初见成效。特别是2020年受新冠疫情影响，部分工业企业阶段性停产减产，该年度排放量出现了短暂的增速下降。2021年随着经济复苏排放量有所反弹，但整体增速已显著低于疫情前水平，说明"双碳"政策对排放增长的抑制作用正在持续显现。整体来看，碳排放曲线呈现先快速增长后趋于平稳的"S型"特征，符合碳达峰前的过渡规律，预示着在持续政策推动下有望逐步实现碳达峰目标。</w:t>
      </w:r>
    </w:p>
    <w:p w14:paraId="452DC9F6">
      <w:pPr>
        <w:pStyle w:val="4"/>
        <w:keepNext/>
        <w:keepLines/>
        <w:spacing w:before="312" w:beforeLines="100" w:after="312" w:afterLines="100" w:line="400" w:lineRule="exact"/>
        <w:ind w:firstLine="0" w:firstLineChars="0"/>
        <w:jc w:val="left"/>
        <w:rPr>
          <w:color w:val="auto"/>
        </w:rPr>
      </w:pPr>
      <w:bookmarkStart w:id="27" w:name="_Toc1076"/>
      <w:r>
        <w:rPr>
          <w:rFonts w:ascii="Times New Roman" w:hAnsi="Times New Roman" w:eastAsia="SimSun"/>
          <w:b/>
          <w:color w:val="auto"/>
          <w:sz w:val="28"/>
        </w:rPr>
        <w:t>4.2 排放源结构分析</w:t>
      </w:r>
      <w:bookmarkEnd w:id="27"/>
    </w:p>
    <w:p w14:paraId="5DC85540">
      <w:pPr>
        <w:spacing w:line="400" w:lineRule="exact"/>
        <w:ind w:firstLine="480" w:firstLineChars="200"/>
        <w:jc w:val="both"/>
        <w:rPr>
          <w:color w:val="auto"/>
        </w:rPr>
      </w:pPr>
      <w:r>
        <w:rPr>
          <w:rFonts w:ascii="Times New Roman" w:hAnsi="Times New Roman" w:eastAsia="SimSun"/>
          <w:b w:val="0"/>
          <w:color w:val="auto"/>
          <w:sz w:val="24"/>
        </w:rPr>
        <w:t>排放源结构分析用于揭示不同排放源对碳排放总量的贡献差异。了解排放源的构成比例是制定差异化减排策略的前提，不同排放源的减排技术路径和政策工具各有不同，只有准确掌握排放源结构才能合理分配减排资源。系统将碳排放按能源活动、工业生产、农业活动和土地利用变化四大排放源进行归类统计，采用环形饼图直观展示各排放源的占比关系，分析结果如图4-2所示。</w:t>
      </w:r>
    </w:p>
    <w:p w14:paraId="7629D22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3192780" cy="3079115"/>
            <wp:effectExtent l="0" t="0" r="762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3192780" cy="3079115"/>
                    </a:xfrm>
                    <a:prstGeom prst="rect">
                      <a:avLst/>
                    </a:prstGeom>
                  </pic:spPr>
                </pic:pic>
              </a:graphicData>
            </a:graphic>
          </wp:inline>
        </w:drawing>
      </w:r>
    </w:p>
    <w:p w14:paraId="0365E6F2">
      <w:pPr>
        <w:spacing w:line="400" w:lineRule="exact"/>
        <w:rPr>
          <w:color w:val="auto"/>
        </w:rPr>
      </w:pPr>
    </w:p>
    <w:p w14:paraId="1D2F2405">
      <w:pPr>
        <w:spacing w:line="400" w:lineRule="exact"/>
        <w:ind w:firstLine="0" w:firstLineChars="0"/>
        <w:jc w:val="center"/>
        <w:rPr>
          <w:color w:val="auto"/>
        </w:rPr>
      </w:pPr>
      <w:r>
        <w:rPr>
          <w:rFonts w:ascii="Times New Roman" w:hAnsi="Times New Roman" w:eastAsia="KaiTi"/>
          <w:b w:val="0"/>
          <w:color w:val="auto"/>
          <w:sz w:val="21"/>
        </w:rPr>
        <w:t>图4-2 排放源结构占比分析</w:t>
      </w:r>
    </w:p>
    <w:p w14:paraId="6F919D6A">
      <w:pPr>
        <w:spacing w:line="400" w:lineRule="exact"/>
        <w:ind w:firstLine="480" w:firstLineChars="200"/>
        <w:jc w:val="both"/>
        <w:rPr>
          <w:color w:val="auto"/>
        </w:rPr>
      </w:pPr>
      <w:r>
        <w:rPr>
          <w:rFonts w:ascii="Times New Roman" w:hAnsi="Times New Roman" w:eastAsia="SimSun"/>
          <w:b w:val="0"/>
          <w:color w:val="auto"/>
          <w:sz w:val="24"/>
        </w:rPr>
        <w:t>分析结果表明，能源活动是碳排放的最大来源，占排放总量的55.0%，涵盖电力和热力生产、石油加工、煤炭开采、天然气开采和交通运输等子行业。工业生产位居第二，占比28.0%，主要包括钢铁冶炼、水泥生产和化学工业等高耗能行业。农业活动和土地利用变化分别占10.0%和7.0%。值得注意的是，与2015年相比，2025年能源活动的排放占比下降了约2个百分点，而农业活动和土地利用变化的占比略有上升，这反映了近年来能源领域清洁化转型取得了一定成效，风电和光伏装机容量的快速增长正在逐步改变能源结构。这一结构特征表明，减碳工作应重点聚焦于能源领域的清洁化转型和工业领域的节能降耗，同时兼顾农业减排和生态碳汇建设。</w:t>
      </w:r>
    </w:p>
    <w:p w14:paraId="04EBE4D5">
      <w:pPr>
        <w:pStyle w:val="4"/>
        <w:keepNext/>
        <w:keepLines/>
        <w:spacing w:before="312" w:beforeLines="100" w:after="312" w:afterLines="100" w:line="400" w:lineRule="exact"/>
        <w:ind w:firstLine="0" w:firstLineChars="0"/>
        <w:jc w:val="left"/>
        <w:rPr>
          <w:color w:val="auto"/>
        </w:rPr>
      </w:pPr>
      <w:bookmarkStart w:id="28" w:name="_Toc26415"/>
      <w:r>
        <w:rPr>
          <w:rFonts w:ascii="Times New Roman" w:hAnsi="Times New Roman" w:eastAsia="SimSun"/>
          <w:b/>
          <w:color w:val="auto"/>
          <w:sz w:val="28"/>
        </w:rPr>
        <w:t>4.3 地区碳排放TOP10分析</w:t>
      </w:r>
      <w:bookmarkEnd w:id="28"/>
    </w:p>
    <w:p w14:paraId="3DD2A95A">
      <w:pPr>
        <w:spacing w:line="400" w:lineRule="exact"/>
        <w:ind w:firstLine="480" w:firstLineChars="200"/>
        <w:jc w:val="both"/>
        <w:rPr>
          <w:color w:val="auto"/>
        </w:rPr>
      </w:pPr>
      <w:r>
        <w:rPr>
          <w:rFonts w:ascii="Times New Roman" w:hAnsi="Times New Roman" w:eastAsia="SimSun"/>
          <w:b w:val="0"/>
          <w:color w:val="auto"/>
          <w:sz w:val="24"/>
        </w:rPr>
        <w:t>地区排放分布分析有助于识别碳排放的空间集中特征，为差异化减排策略的制定提供依据。我国幅员辽阔，各省份的经济发展水平、产业结构和自然资源禀赋差异显著，这些因素共同决定了碳排放在空间上的不均匀分布。识别高排放省份并分析其排放驱动因素，是制定区域碳减排方案的基础。系统统计了各省级行政区的碳排放总量，并展示了排放量前10名的省份排名，如图4-3所示。</w:t>
      </w:r>
    </w:p>
    <w:p w14:paraId="792A293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5039995" cy="299466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040000" cy="2994967"/>
                    </a:xfrm>
                    <a:prstGeom prst="rect">
                      <a:avLst/>
                    </a:prstGeom>
                  </pic:spPr>
                </pic:pic>
              </a:graphicData>
            </a:graphic>
          </wp:inline>
        </w:drawing>
      </w:r>
    </w:p>
    <w:p w14:paraId="1BDBD38F">
      <w:pPr>
        <w:spacing w:line="400" w:lineRule="exact"/>
        <w:rPr>
          <w:color w:val="auto"/>
        </w:rPr>
      </w:pPr>
    </w:p>
    <w:p w14:paraId="0467D3C8">
      <w:pPr>
        <w:spacing w:line="400" w:lineRule="exact"/>
        <w:ind w:firstLine="0" w:firstLineChars="0"/>
        <w:jc w:val="center"/>
        <w:rPr>
          <w:color w:val="auto"/>
        </w:rPr>
      </w:pPr>
      <w:r>
        <w:rPr>
          <w:rFonts w:ascii="Times New Roman" w:hAnsi="Times New Roman" w:eastAsia="KaiTi"/>
          <w:b w:val="0"/>
          <w:color w:val="auto"/>
          <w:sz w:val="21"/>
        </w:rPr>
        <w:t>图4-3 地区碳排放TOP10</w:t>
      </w:r>
    </w:p>
    <w:p w14:paraId="33CE200C">
      <w:pPr>
        <w:spacing w:line="400" w:lineRule="exact"/>
        <w:ind w:firstLine="480" w:firstLineChars="200"/>
        <w:jc w:val="both"/>
        <w:rPr>
          <w:color w:val="auto"/>
        </w:rPr>
      </w:pPr>
      <w:r>
        <w:rPr>
          <w:rFonts w:ascii="Times New Roman" w:hAnsi="Times New Roman" w:eastAsia="SimSun"/>
          <w:b w:val="0"/>
          <w:color w:val="auto"/>
          <w:sz w:val="24"/>
        </w:rPr>
        <w:t>从排名结果来看，广东省、江苏省、山东省位列碳排放前三名，排放量均超过5000万吨CO2，这与三省作为经济总量和工业规模全国领先的经济大省密切相关。河北省和内蒙古自治区虽然经济总量不及东部沿海省份，但由于钢铁冶炼、煤炭开采等重工业占比较高，碳排放量同样居于高位。排放量TOP10的省份合计贡献了全国碳排放总量的约65%，反映出碳排放在空间分布上具有较强的集中性，减排重点应向这些高排放省份倾斜。从人均碳排放的角度分析，内蒙古、宁夏、山西等资源型省份的人均碳排放显著高于全国平均水平，而广东、浙江等经济发达省份的人均碳排放相对较低，这反映出经济发展方式和产业结构对碳排放效率的重要影响。东部沿海地区虽然排放总量较高，但其经济产出与排放的比值（碳生产率）明显优于中西部地区，说明东部地区在经济发展质量和碳排放效率方面具有一定的领先优势。</w:t>
      </w:r>
    </w:p>
    <w:p w14:paraId="487F1E27">
      <w:pPr>
        <w:pStyle w:val="4"/>
        <w:keepNext/>
        <w:keepLines/>
        <w:spacing w:before="312" w:beforeLines="100" w:after="312" w:afterLines="100" w:line="400" w:lineRule="exact"/>
        <w:ind w:firstLine="0" w:firstLineChars="0"/>
        <w:jc w:val="left"/>
        <w:rPr>
          <w:color w:val="auto"/>
        </w:rPr>
      </w:pPr>
      <w:bookmarkStart w:id="29" w:name="_Toc14456"/>
      <w:r>
        <w:rPr>
          <w:rFonts w:ascii="Times New Roman" w:hAnsi="Times New Roman" w:eastAsia="SimSun"/>
          <w:b/>
          <w:color w:val="auto"/>
          <w:sz w:val="28"/>
        </w:rPr>
        <w:t>4.4 季度碳排放对比分析</w:t>
      </w:r>
      <w:bookmarkEnd w:id="29"/>
    </w:p>
    <w:p w14:paraId="458A1F51">
      <w:pPr>
        <w:spacing w:line="400" w:lineRule="exact"/>
        <w:ind w:firstLine="480" w:firstLineChars="200"/>
        <w:jc w:val="both"/>
        <w:rPr>
          <w:color w:val="auto"/>
        </w:rPr>
      </w:pPr>
      <w:r>
        <w:rPr>
          <w:rFonts w:ascii="Times New Roman" w:hAnsi="Times New Roman" w:eastAsia="SimSun"/>
          <w:b w:val="0"/>
          <w:color w:val="auto"/>
          <w:sz w:val="24"/>
        </w:rPr>
        <w:t>季度分析能够揭示碳排放的季节性波动规律。碳排放数据不仅具有长期的年度变化趋势，还存在明显的季节性周期波动特征，这种周期性波动与气候条件、能源消费习惯和工业生产周期密切相关。掌握排放的季节性规律有助于管理部门在高排放季节提前部署监测和减排措施。系统对2020年、2022年、2024年和2025年的季度排放数据进行了对比分析，结果如图4-4所示。</w:t>
      </w:r>
    </w:p>
    <w:p w14:paraId="39D63FD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5039995" cy="3002915"/>
            <wp:effectExtent l="0" t="0" r="444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040000" cy="3003096"/>
                    </a:xfrm>
                    <a:prstGeom prst="rect">
                      <a:avLst/>
                    </a:prstGeom>
                  </pic:spPr>
                </pic:pic>
              </a:graphicData>
            </a:graphic>
          </wp:inline>
        </w:drawing>
      </w:r>
    </w:p>
    <w:p w14:paraId="5EDCACE4">
      <w:pPr>
        <w:spacing w:line="400" w:lineRule="exact"/>
        <w:rPr>
          <w:color w:val="auto"/>
        </w:rPr>
      </w:pPr>
    </w:p>
    <w:p w14:paraId="4D2302BE">
      <w:pPr>
        <w:spacing w:line="400" w:lineRule="exact"/>
        <w:ind w:firstLine="0" w:firstLineChars="0"/>
        <w:jc w:val="center"/>
        <w:rPr>
          <w:color w:val="auto"/>
        </w:rPr>
      </w:pPr>
      <w:r>
        <w:rPr>
          <w:rFonts w:ascii="Times New Roman" w:hAnsi="Times New Roman" w:eastAsia="KaiTi"/>
          <w:b w:val="0"/>
          <w:color w:val="auto"/>
          <w:sz w:val="21"/>
        </w:rPr>
        <w:t>图4-4 季度碳排放对比分析</w:t>
      </w:r>
    </w:p>
    <w:p w14:paraId="1764EABF">
      <w:pPr>
        <w:spacing w:line="400" w:lineRule="exact"/>
        <w:ind w:firstLine="480" w:firstLineChars="200"/>
        <w:jc w:val="both"/>
        <w:rPr>
          <w:color w:val="auto"/>
        </w:rPr>
      </w:pPr>
      <w:r>
        <w:rPr>
          <w:rFonts w:ascii="Times New Roman" w:hAnsi="Times New Roman" w:eastAsia="SimSun"/>
          <w:b w:val="0"/>
          <w:color w:val="auto"/>
          <w:sz w:val="24"/>
        </w:rPr>
        <w:t>从季度分布来看，各年度均呈现出明显的季节性波动特征：第一季度和第四季度排放量较高，第二季度和第三季度排放量相对较低。这一规律主要源于冬季取暖需求带动的能源消耗增加——北方地区冬季集中供暖导致煤炭和天然气消耗大幅上升，从而使第一季度和第四季度的碳排放明显高于夏秋季节。同时，第二季度和第三季度排放量相对较低还与春夏季节南方地区工业生产的季节性调整有关，部分高耗能企业在夏季高温时段会适当减少生产负荷，客观上降低了碳排放量。此外，纵向对比不同年份的同一季度数据，可以观察到2024和2025年较2020年的季度排放增幅已趋于平缓，进一步印证了碳排放增速放缓的趋势判断。季度波动规律的发现对于碳排放管理具有重要的实践意义，它提示管理部门应在冬季取暖季节重点加强排放监测和预警，并积极推动清洁取暖技术的推广应用。</w:t>
      </w:r>
    </w:p>
    <w:p w14:paraId="76E75F45">
      <w:pPr>
        <w:pStyle w:val="4"/>
        <w:keepNext/>
        <w:keepLines/>
        <w:spacing w:before="312" w:beforeLines="100" w:after="312" w:afterLines="100" w:line="400" w:lineRule="exact"/>
        <w:ind w:firstLine="0" w:firstLineChars="0"/>
        <w:jc w:val="left"/>
        <w:rPr>
          <w:color w:val="auto"/>
        </w:rPr>
      </w:pPr>
      <w:bookmarkStart w:id="30" w:name="_Toc5796"/>
      <w:r>
        <w:rPr>
          <w:rFonts w:ascii="Times New Roman" w:hAnsi="Times New Roman" w:eastAsia="SimSun"/>
          <w:b/>
          <w:color w:val="auto"/>
          <w:sz w:val="28"/>
        </w:rPr>
        <w:t>4.5 行业排放结构分析</w:t>
      </w:r>
      <w:bookmarkEnd w:id="30"/>
    </w:p>
    <w:p w14:paraId="591A6F43">
      <w:pPr>
        <w:spacing w:line="400" w:lineRule="exact"/>
        <w:ind w:firstLine="480" w:firstLineChars="200"/>
        <w:jc w:val="both"/>
        <w:rPr>
          <w:color w:val="auto"/>
        </w:rPr>
      </w:pPr>
      <w:r>
        <w:rPr>
          <w:rFonts w:ascii="Times New Roman" w:hAnsi="Times New Roman" w:eastAsia="SimSun"/>
          <w:b w:val="0"/>
          <w:color w:val="auto"/>
          <w:sz w:val="24"/>
        </w:rPr>
        <w:t>行业维度的分析能够揭示碳排放在产业链上的分布特征。不同行业的生产工艺、能源消费结构和减排潜力各不相同，精确掌握行业排放结构是推进重点行业碳减排的基础。通过对各子行业排放量随时间变化的堆叠面积分析，可以同时观察行业排放的绝对量变化和相对结构变化。系统以排放占比最大的能源活动排放源为例，对其下属5个子行业的排放量进行了堆叠面积分析，结果如图4-5所示。</w:t>
      </w:r>
    </w:p>
    <w:p w14:paraId="2D9E5451">
      <w:pPr>
        <w:keepNext w:val="0"/>
        <w:keepLines w:val="0"/>
        <w:pageBreakBefore w:val="0"/>
        <w:widowControl/>
        <w:kinsoku/>
        <w:wordWrap/>
        <w:overflowPunct/>
        <w:topLinePunct w:val="0"/>
        <w:autoSpaceDE/>
        <w:autoSpaceDN/>
        <w:bidi w:val="0"/>
        <w:adjustRightInd/>
        <w:snapToGrid/>
        <w:spacing w:line="240" w:lineRule="auto"/>
        <w:ind w:firstLine="480" w:firstLineChars="200"/>
        <w:jc w:val="center"/>
        <w:textAlignment w:val="auto"/>
        <w:rPr>
          <w:color w:val="auto"/>
        </w:rPr>
      </w:pPr>
      <w:r>
        <w:rPr>
          <w:color w:val="auto"/>
        </w:rPr>
        <w:drawing>
          <wp:inline distT="0" distB="0" distL="114300" distR="114300">
            <wp:extent cx="5039995" cy="2997835"/>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5040000" cy="2997997"/>
                    </a:xfrm>
                    <a:prstGeom prst="rect">
                      <a:avLst/>
                    </a:prstGeom>
                  </pic:spPr>
                </pic:pic>
              </a:graphicData>
            </a:graphic>
          </wp:inline>
        </w:drawing>
      </w:r>
    </w:p>
    <w:p w14:paraId="050D1968">
      <w:pPr>
        <w:spacing w:line="400" w:lineRule="exact"/>
        <w:rPr>
          <w:color w:val="auto"/>
        </w:rPr>
      </w:pPr>
    </w:p>
    <w:p w14:paraId="014E5947">
      <w:pPr>
        <w:spacing w:line="400" w:lineRule="exact"/>
        <w:ind w:firstLine="0" w:firstLineChars="0"/>
        <w:jc w:val="center"/>
        <w:rPr>
          <w:color w:val="auto"/>
        </w:rPr>
      </w:pPr>
      <w:r>
        <w:rPr>
          <w:rFonts w:ascii="Times New Roman" w:hAnsi="Times New Roman" w:eastAsia="KaiTi"/>
          <w:b w:val="0"/>
          <w:color w:val="auto"/>
          <w:sz w:val="21"/>
        </w:rPr>
        <w:t>图4-5 能源活动行业排放结构</w:t>
      </w:r>
    </w:p>
    <w:p w14:paraId="4AF84016">
      <w:pPr>
        <w:spacing w:line="400" w:lineRule="exact"/>
        <w:ind w:firstLine="480" w:firstLineChars="200"/>
        <w:jc w:val="both"/>
        <w:rPr>
          <w:color w:val="auto"/>
        </w:rPr>
      </w:pPr>
      <w:r>
        <w:rPr>
          <w:rFonts w:ascii="Times New Roman" w:hAnsi="Times New Roman" w:eastAsia="SimSun"/>
          <w:b w:val="0"/>
          <w:color w:val="auto"/>
          <w:sz w:val="24"/>
        </w:rPr>
        <w:t>分析结果显示，电力和热力生产是能源活动类排放的最大贡献者，占能源活动排放总量的约40%，反映了我国以煤电为主的电力结构特点。石油加工和交通运输分别位居第二和第三，各占约20%和15%。煤炭开采和天然气开采合计占比约25%，这部分排放主要来源于矿井生产过程中的能源消耗和甲烷逸散。从时间演变来看，2015至2025年间各行业的排放量均呈现温和增长趋势，但行业间的相对占比保持基本稳定，说明能源活动内部的排放结构在短期内未发生根本性变化。值得关注的是，交通运输行业的排放增速在近年有所加快，这与汽车保有量的持续增长和物流行业的快速发展密切相关，提示交通领域的电动化和低碳化转型也应得到足够重视。这一分析结论提示，推动电力行业从煤电向风电、光伏等可再生能源转型，是降低能源活动碳排放的最有效途径。</w:t>
      </w:r>
    </w:p>
    <w:p w14:paraId="48DD7733">
      <w:pPr>
        <w:pStyle w:val="4"/>
        <w:keepNext/>
        <w:keepLines/>
        <w:spacing w:before="312" w:beforeLines="100" w:after="312" w:afterLines="100" w:line="400" w:lineRule="exact"/>
        <w:ind w:firstLine="0" w:firstLineChars="0"/>
        <w:jc w:val="left"/>
        <w:rPr>
          <w:color w:val="auto"/>
        </w:rPr>
      </w:pPr>
      <w:bookmarkStart w:id="31" w:name="_Toc1020"/>
      <w:r>
        <w:rPr>
          <w:rFonts w:ascii="Times New Roman" w:hAnsi="Times New Roman" w:eastAsia="SimSun"/>
          <w:b/>
          <w:color w:val="auto"/>
          <w:sz w:val="28"/>
        </w:rPr>
        <w:t>4.6 碳排放影响因素分析</w:t>
      </w:r>
      <w:bookmarkEnd w:id="31"/>
    </w:p>
    <w:p w14:paraId="12446411">
      <w:pPr>
        <w:spacing w:line="400" w:lineRule="exact"/>
        <w:ind w:firstLine="480" w:firstLineChars="200"/>
        <w:jc w:val="both"/>
        <w:rPr>
          <w:color w:val="auto"/>
        </w:rPr>
      </w:pPr>
      <w:r>
        <w:rPr>
          <w:rFonts w:ascii="Times New Roman" w:hAnsi="Times New Roman" w:eastAsia="SimSun"/>
          <w:b w:val="0"/>
          <w:color w:val="auto"/>
          <w:sz w:val="24"/>
        </w:rPr>
        <w:t>影响因素分析旨在揭示碳排放与经济社会指标之间的关联关系。碳排放量的变化是多种经济社会因素共同作用的结果，识别主要驱动因素及其影响程度，对于制定科学的减排策略具有重要指导意义。学术界常采用Kaya恒等式将碳排放分解为人口、人均GDP、能源强度和碳排放因子四个驱动因素的乘积，本系统基于这一理论框架，重点分析了GDP和能源效率两个核心因素与碳排放的关联关系。系统以GDP为代表性因素，对碳排放量与GDP的相关性进行了散点图分析，并绘制了碳排放与能源效率的双轴对比趋势，结果分别如图4-6和图4-7所示。</w:t>
      </w:r>
    </w:p>
    <w:p w14:paraId="04DCF81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5039995" cy="3338830"/>
            <wp:effectExtent l="0" t="0" r="444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5040000" cy="3339177"/>
                    </a:xfrm>
                    <a:prstGeom prst="rect">
                      <a:avLst/>
                    </a:prstGeom>
                  </pic:spPr>
                </pic:pic>
              </a:graphicData>
            </a:graphic>
          </wp:inline>
        </w:drawing>
      </w:r>
    </w:p>
    <w:p w14:paraId="6931F863">
      <w:pPr>
        <w:spacing w:line="400" w:lineRule="exact"/>
        <w:rPr>
          <w:color w:val="auto"/>
        </w:rPr>
      </w:pPr>
    </w:p>
    <w:p w14:paraId="1A19C568">
      <w:pPr>
        <w:spacing w:line="400" w:lineRule="exact"/>
        <w:ind w:firstLine="0" w:firstLineChars="0"/>
        <w:jc w:val="center"/>
        <w:rPr>
          <w:color w:val="auto"/>
        </w:rPr>
      </w:pPr>
      <w:r>
        <w:rPr>
          <w:rFonts w:ascii="Times New Roman" w:hAnsi="Times New Roman" w:eastAsia="KaiTi"/>
          <w:b w:val="0"/>
          <w:color w:val="auto"/>
          <w:sz w:val="21"/>
        </w:rPr>
        <w:t>图4-6 碳排放与GDP相关性分析</w:t>
      </w:r>
    </w:p>
    <w:p w14:paraId="74E5468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color w:val="auto"/>
        </w:rPr>
      </w:pPr>
      <w:r>
        <w:rPr>
          <w:color w:val="auto"/>
        </w:rPr>
        <w:drawing>
          <wp:inline distT="0" distB="0" distL="114300" distR="114300">
            <wp:extent cx="5039995" cy="3001010"/>
            <wp:effectExtent l="0" t="0" r="444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5040000" cy="3001033"/>
                    </a:xfrm>
                    <a:prstGeom prst="rect">
                      <a:avLst/>
                    </a:prstGeom>
                  </pic:spPr>
                </pic:pic>
              </a:graphicData>
            </a:graphic>
          </wp:inline>
        </w:drawing>
      </w:r>
    </w:p>
    <w:p w14:paraId="533A8EFC">
      <w:pPr>
        <w:spacing w:line="400" w:lineRule="exact"/>
        <w:rPr>
          <w:color w:val="auto"/>
        </w:rPr>
      </w:pPr>
    </w:p>
    <w:p w14:paraId="3D593D79">
      <w:pPr>
        <w:spacing w:line="400" w:lineRule="exact"/>
        <w:ind w:firstLine="0" w:firstLineChars="0"/>
        <w:jc w:val="center"/>
        <w:rPr>
          <w:color w:val="auto"/>
        </w:rPr>
      </w:pPr>
      <w:r>
        <w:rPr>
          <w:rFonts w:ascii="Times New Roman" w:hAnsi="Times New Roman" w:eastAsia="KaiTi"/>
          <w:b w:val="0"/>
          <w:color w:val="auto"/>
          <w:sz w:val="21"/>
        </w:rPr>
        <w:t>图4-7 碳排放与能源效率变化趋势</w:t>
      </w:r>
    </w:p>
    <w:p w14:paraId="16FBA04D">
      <w:pPr>
        <w:spacing w:line="400" w:lineRule="exact"/>
        <w:ind w:firstLine="480" w:firstLineChars="200"/>
        <w:jc w:val="both"/>
        <w:rPr>
          <w:color w:val="auto"/>
        </w:rPr>
      </w:pPr>
      <w:r>
        <w:rPr>
          <w:rFonts w:ascii="Times New Roman" w:hAnsi="Times New Roman" w:eastAsia="SimSun"/>
          <w:b w:val="0"/>
          <w:color w:val="auto"/>
          <w:sz w:val="24"/>
        </w:rPr>
        <w:t>从图4-6的散点图和拟合线可以看出，碳排放总量与GDP之间存在较强的正相关关系，相关系数达到0.98以上，说明经济增长仍是驱动碳排放增加的主要因素。碳排放与人口之间同样存在正相关关系，但相关系数略低于GDP因素，这是因为人口增长对碳排放的影响主要通过生活消费和城镇化进程间接传导，而非直接产生工业排放。然而，图4-7的双轴趋势图揭示了一个积极的信号：虽然碳排放总量持续增长，但能源效率指标（单位GDP碳排放）呈现持续下降趋势，从2015年的约130 tCO2/万元GDP降至2025年的约97 tCO2/万元GDP，降幅达25%。这表明经济增长的碳排放强度正在逐步降低，技术进步和产业结构优化正在发挥积极作用，为最终实现碳排放与经济增长的脱钩奠定了基础。能源效率的持续改善与近年来新能源发电比例的提升、工业节能技术的推广以及服务业在经济结构中占比的增加密切相关，预计随着"双碳"政策措施的进一步深化推进，碳排放强度将继续呈下降趋势。</w:t>
      </w:r>
    </w:p>
    <w:p w14:paraId="66262A95">
      <w:pPr>
        <w:pStyle w:val="3"/>
        <w:keepNext/>
        <w:keepLines/>
        <w:pageBreakBefore/>
        <w:spacing w:before="312" w:beforeLines="100" w:after="312" w:afterLines="100" w:line="400" w:lineRule="exact"/>
        <w:ind w:firstLine="0" w:firstLineChars="0"/>
        <w:jc w:val="center"/>
        <w:rPr>
          <w:color w:val="auto"/>
        </w:rPr>
      </w:pPr>
      <w:bookmarkStart w:id="32" w:name="_Toc27279"/>
      <w:r>
        <w:rPr>
          <w:rFonts w:ascii="Times New Roman" w:hAnsi="Times New Roman" w:eastAsia="SimHei"/>
          <w:b w:val="0"/>
          <w:color w:val="auto"/>
          <w:sz w:val="32"/>
        </w:rPr>
        <w:t>第5章  可视化大屏的设计与实现</w:t>
      </w:r>
      <w:bookmarkEnd w:id="32"/>
    </w:p>
    <w:p w14:paraId="61DB1212">
      <w:pPr>
        <w:pStyle w:val="4"/>
        <w:keepNext/>
        <w:keepLines/>
        <w:spacing w:before="312" w:beforeLines="100" w:after="312" w:afterLines="100" w:line="400" w:lineRule="exact"/>
        <w:ind w:firstLine="0" w:firstLineChars="0"/>
        <w:jc w:val="left"/>
        <w:rPr>
          <w:color w:val="auto"/>
        </w:rPr>
      </w:pPr>
      <w:bookmarkStart w:id="33" w:name="_Toc6255"/>
      <w:r>
        <w:rPr>
          <w:rFonts w:ascii="Times New Roman" w:hAnsi="Times New Roman" w:eastAsia="SimSun"/>
          <w:b/>
          <w:color w:val="auto"/>
          <w:sz w:val="28"/>
        </w:rPr>
        <w:t>5.1 可视化大屏的设计</w:t>
      </w:r>
      <w:bookmarkEnd w:id="33"/>
    </w:p>
    <w:p w14:paraId="42FD1873">
      <w:pPr>
        <w:spacing w:line="400" w:lineRule="exact"/>
        <w:ind w:firstLine="480" w:firstLineChars="200"/>
        <w:jc w:val="both"/>
        <w:rPr>
          <w:color w:val="auto"/>
        </w:rPr>
      </w:pPr>
      <w:r>
        <w:rPr>
          <w:rFonts w:ascii="Times New Roman" w:hAnsi="Times New Roman" w:eastAsia="SimSun"/>
          <w:b w:val="0"/>
          <w:color w:val="auto"/>
          <w:sz w:val="24"/>
        </w:rPr>
        <w:t>本平台的可视化大屏采用左侧导航栏+右侧内容区的经典布局方案，以蓝灰色调为主色系，追求简洁、专业的视觉风格。整体设计遵循"信息层级清晰、交互操作便捷、视觉表现统一"的原则，确保用户能够高效地获取和分析碳排放数据。在界面配色设计上，系统以深蓝色（#1e293b）作为侧边导航栏的背景色，以白色和浅灰色作为内容区域的基础色调，辅以蓝色（#2563EB）作为交互元素的强调色，绿色（#10b981）和红色（#ef4444）分别用于表示正向和负向的数据变化指标，形成了清晰的色彩语义体系。字体方面统一使用系统默认的无衬线字体，标题层级通过字号和字重的渐变进行区分，数据数值采用等宽数字字体以确保列对齐效果。</w:t>
      </w:r>
    </w:p>
    <w:p w14:paraId="2F16E2CA">
      <w:pPr>
        <w:pStyle w:val="168"/>
        <w:bidi w:val="0"/>
      </w:pPr>
      <w:r>
        <w:rPr/>
        <w:drawing>
          <wp:inline distT="0" distB="0" distL="114300" distR="114300">
            <wp:extent cx="5386070" cy="2527935"/>
            <wp:effectExtent l="0" t="0" r="8890" b="190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6"/>
                    <a:stretch>
                      <a:fillRect/>
                    </a:stretch>
                  </pic:blipFill>
                  <pic:spPr>
                    <a:xfrm>
                      <a:off x="0" y="0"/>
                      <a:ext cx="5386070" cy="2527935"/>
                    </a:xfrm>
                    <a:prstGeom prst="rect">
                      <a:avLst/>
                    </a:prstGeom>
                    <a:noFill/>
                    <a:ln>
                      <a:noFill/>
                    </a:ln>
                  </pic:spPr>
                </pic:pic>
              </a:graphicData>
            </a:graphic>
          </wp:inline>
        </w:drawing>
      </w:r>
    </w:p>
    <w:p w14:paraId="100FFBE4">
      <w:pPr>
        <w:spacing w:line="400" w:lineRule="exact"/>
        <w:ind w:firstLine="0" w:firstLineChars="0"/>
        <w:jc w:val="center"/>
        <w:rPr>
          <w:color w:val="auto"/>
        </w:rPr>
      </w:pPr>
      <w:r>
        <w:rPr>
          <w:rFonts w:ascii="Times New Roman" w:hAnsi="Times New Roman" w:eastAsia="KaiTi"/>
          <w:b w:val="0"/>
          <w:color w:val="auto"/>
          <w:sz w:val="21"/>
        </w:rPr>
        <w:t>图5-1 系统整体界面设计</w:t>
      </w:r>
    </w:p>
    <w:p w14:paraId="1AD53356">
      <w:pPr>
        <w:spacing w:line="400" w:lineRule="exact"/>
        <w:ind w:firstLine="480" w:firstLineChars="200"/>
        <w:jc w:val="both"/>
        <w:rPr>
          <w:color w:val="auto"/>
        </w:rPr>
      </w:pPr>
      <w:r>
        <w:rPr>
          <w:rFonts w:ascii="Times New Roman" w:hAnsi="Times New Roman" w:eastAsia="SimSun"/>
          <w:b w:val="0"/>
          <w:color w:val="auto"/>
          <w:sz w:val="24"/>
        </w:rPr>
        <w:t>大屏首页为数据仪表盘，顶部展示四个核心统计指标卡片（排放总量、最新年度排放、排放源数、数据记录数），中部左侧为年度排放趋势折线图，右侧为排放源结构饼图，下部左侧为地区排放TOP10水平柱状图，右侧为最新预警信息列表。左侧导航栏按功能域划分为"数据概览""数据分析""智能分析""个人"四个分组，包含仪表盘、排放趋势、排放结构、影响因素、智能预测、预警中心和个人中心7个一级导航项。管理员用户还可通过右上角下拉菜单进入管理后台，进行数据维护和系统配置等管理操作。</w:t>
      </w:r>
    </w:p>
    <w:p w14:paraId="78CADF22">
      <w:pPr>
        <w:pStyle w:val="4"/>
        <w:keepNext/>
        <w:keepLines/>
        <w:spacing w:before="312" w:beforeLines="100" w:after="312" w:afterLines="100" w:line="400" w:lineRule="exact"/>
        <w:ind w:firstLine="0" w:firstLineChars="0"/>
        <w:jc w:val="left"/>
        <w:rPr>
          <w:color w:val="auto"/>
        </w:rPr>
      </w:pPr>
      <w:bookmarkStart w:id="34" w:name="_Toc25009"/>
      <w:r>
        <w:rPr>
          <w:rFonts w:ascii="Times New Roman" w:hAnsi="Times New Roman" w:eastAsia="SimSun"/>
          <w:b/>
          <w:color w:val="auto"/>
          <w:sz w:val="28"/>
        </w:rPr>
        <w:t>5.2 可视化大屏的实现</w:t>
      </w:r>
      <w:bookmarkEnd w:id="34"/>
    </w:p>
    <w:p w14:paraId="69A201E2">
      <w:pPr>
        <w:pStyle w:val="5"/>
        <w:keepNext/>
        <w:keepLines/>
        <w:spacing w:before="156" w:beforeLines="50" w:after="156" w:afterLines="50" w:line="400" w:lineRule="exact"/>
        <w:ind w:firstLine="0" w:firstLineChars="0"/>
        <w:jc w:val="left"/>
        <w:rPr>
          <w:color w:val="auto"/>
        </w:rPr>
      </w:pPr>
      <w:bookmarkStart w:id="35" w:name="_Toc26168"/>
      <w:r>
        <w:rPr>
          <w:rFonts w:ascii="Times New Roman" w:hAnsi="Times New Roman" w:eastAsia="SimSun"/>
          <w:b/>
          <w:color w:val="auto"/>
          <w:sz w:val="24"/>
        </w:rPr>
        <w:t>5.2.1 可视化大屏的前端实现</w:t>
      </w:r>
      <w:bookmarkEnd w:id="35"/>
    </w:p>
    <w:p w14:paraId="10CD3061">
      <w:pPr>
        <w:spacing w:line="400" w:lineRule="exact"/>
        <w:ind w:firstLine="482" w:firstLineChars="200"/>
        <w:jc w:val="both"/>
        <w:rPr>
          <w:color w:val="auto"/>
        </w:rPr>
      </w:pPr>
      <w:r>
        <w:rPr>
          <w:rFonts w:ascii="Times New Roman" w:hAnsi="Times New Roman" w:eastAsia="SimSun"/>
          <w:b/>
          <w:color w:val="auto"/>
          <w:sz w:val="24"/>
        </w:rPr>
        <w:t>（1）响应式布局实现</w:t>
      </w:r>
    </w:p>
    <w:p w14:paraId="439DA281">
      <w:pPr>
        <w:spacing w:line="400" w:lineRule="exact"/>
        <w:ind w:firstLine="480" w:firstLineChars="200"/>
        <w:jc w:val="both"/>
        <w:rPr>
          <w:color w:val="auto"/>
        </w:rPr>
      </w:pPr>
      <w:r>
        <w:rPr>
          <w:rFonts w:ascii="Times New Roman" w:hAnsi="Times New Roman" w:eastAsia="SimSun"/>
          <w:b w:val="0"/>
          <w:color w:val="auto"/>
          <w:sz w:val="24"/>
        </w:rPr>
        <w:t>前端界面基于Bootstrap 5框架构建响应式栅格布局，结合自定义CSS样式实现了适配不同屏幕尺寸的页面排版。侧边导航栏在桌面端固定显示在左侧，在移动端通过汉堡菜单按钮进行折叠和展开切换。</w:t>
      </w:r>
    </w:p>
    <w:p w14:paraId="0615E79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&lt;!-- 侧边栏导航 --&gt;</w:t>
      </w:r>
    </w:p>
    <w:p w14:paraId="52A0A02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&lt;nav class="sidebar" id="sidebar"&gt;</w:t>
      </w:r>
    </w:p>
    <w:p w14:paraId="24F7613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class="sidebar-brand"&gt;</w:t>
      </w:r>
    </w:p>
    <w:p w14:paraId="3360DCB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&lt;svg viewBox="0 0 24 24" fill="none" stroke="currentColor" stroke-width="2"&gt;</w:t>
      </w:r>
    </w:p>
    <w:p w14:paraId="65B9423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&lt;path d="M12 2L2 7l10 5 10-5-10-5z"/&gt;</w:t>
      </w:r>
    </w:p>
    <w:p w14:paraId="16D1233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&lt;path d="M2 17l10 5 10-5"/&gt;</w:t>
      </w:r>
    </w:p>
    <w:p w14:paraId="489D14E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&lt;path d="M2 12l10 5 10-5"/&gt;</w:t>
      </w:r>
    </w:p>
    <w:p w14:paraId="335FA52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&lt;/svg&gt;</w:t>
      </w:r>
    </w:p>
    <w:p w14:paraId="0192CF8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&lt;h5&gt;碳排放分析预测平台&lt;/h5&gt;</w:t>
      </w:r>
    </w:p>
    <w:p w14:paraId="03FCCE0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786D583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class="sidebar-nav"&gt;</w:t>
      </w:r>
    </w:p>
    <w:p w14:paraId="5161D55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class="nav-section"&gt;数据概览&lt;/div&gt;</w:t>
      </w:r>
    </w:p>
    <w:p w14:paraId="1784D3D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&lt;a href="/dashboard/" class="nav-link active"&gt;</w:t>
      </w:r>
    </w:p>
    <w:p w14:paraId="288A8CB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&lt;svg viewBox="0 0 24 24" fill="none" stroke="currentColor"&gt;</w:t>
      </w:r>
    </w:p>
    <w:p w14:paraId="3890023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&lt;rect x="3" y="3" width="7" height="7"/&gt;</w:t>
      </w:r>
    </w:p>
    <w:p w14:paraId="4D56E5D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&lt;rect x="14" y="3" width="7" height="7"/&gt;</w:t>
      </w:r>
    </w:p>
    <w:p w14:paraId="2CA28B0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&lt;/svg&gt;</w:t>
      </w:r>
    </w:p>
    <w:p w14:paraId="3C3D724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仪表盘</w:t>
      </w:r>
    </w:p>
    <w:p w14:paraId="465AF7F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&lt;/a&gt;</w:t>
      </w:r>
    </w:p>
    <w:p w14:paraId="2F92AC6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class="nav-section"&gt;数据分析&lt;/div&gt;</w:t>
      </w:r>
    </w:p>
    <w:p w14:paraId="27BC708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&lt;a href="/analysis/trend/" class="nav-link"&gt;排放趋势&lt;/a&gt;</w:t>
      </w:r>
    </w:p>
    <w:p w14:paraId="7E58610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&lt;a href="/analysis/structure/" class="nav-link"&gt;排放结构&lt;/a&gt;</w:t>
      </w:r>
    </w:p>
    <w:p w14:paraId="12399B0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&lt;a href="/analysis/factors/" class="nav-link"&gt;影响因素&lt;/a&gt;</w:t>
      </w:r>
    </w:p>
    <w:p w14:paraId="30F697F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51F01C6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&lt;/nav&gt;</w:t>
      </w:r>
    </w:p>
    <w:p w14:paraId="6590F1A5">
      <w:pPr>
        <w:spacing w:line="400" w:lineRule="exact"/>
        <w:ind w:firstLine="480" w:firstLineChars="200"/>
        <w:jc w:val="both"/>
        <w:rPr>
          <w:color w:val="auto"/>
        </w:rPr>
      </w:pPr>
      <w:r>
        <w:rPr>
          <w:rFonts w:ascii="Times New Roman" w:hAnsi="Times New Roman" w:eastAsia="SimSun"/>
          <w:b w:val="0"/>
          <w:color w:val="auto"/>
          <w:sz w:val="24"/>
        </w:rPr>
        <w:t>通过CSS自定义变量定义了统一的配色方案和间距规范，使用Flexbox和Grid布局实现了内容区域的自适应排列，确保统计卡片、图表容器和数据表格在不同分辨率下均能合理分布。此外，系统在交互设计方面也进行了细致的优化：页面元素的悬停状态、激活状态和禁用状态均通过CSS过渡动画进行平滑切换，避免了界面状态的突兀变化；数据加载过程中展示骨架屏（Skeleton Screen）或旋转加载动画，给予用户明确的等待反馈；表单控件的校验错误信息实时显示在对应输入框下方，并用红色文字和边框进行视觉强调，引导用户及时修正输入错误。</w:t>
      </w:r>
    </w:p>
    <w:p w14:paraId="044561D9">
      <w:pPr>
        <w:spacing w:line="400" w:lineRule="exact"/>
        <w:ind w:firstLine="482" w:firstLineChars="200"/>
        <w:jc w:val="both"/>
        <w:rPr>
          <w:color w:val="auto"/>
        </w:rPr>
      </w:pPr>
      <w:r>
        <w:rPr>
          <w:rFonts w:ascii="Times New Roman" w:hAnsi="Times New Roman" w:eastAsia="SimSun"/>
          <w:b/>
          <w:color w:val="auto"/>
          <w:sz w:val="24"/>
        </w:rPr>
        <w:t>（2）ECharts图表异步加载</w:t>
      </w:r>
    </w:p>
    <w:p w14:paraId="08D6A152">
      <w:pPr>
        <w:spacing w:line="400" w:lineRule="exact"/>
        <w:ind w:firstLine="480" w:firstLineChars="200"/>
        <w:jc w:val="both"/>
        <w:rPr>
          <w:color w:val="auto"/>
        </w:rPr>
      </w:pPr>
      <w:r>
        <w:rPr>
          <w:rFonts w:ascii="Times New Roman" w:hAnsi="Times New Roman" w:eastAsia="SimSun"/>
          <w:b w:val="0"/>
          <w:color w:val="auto"/>
          <w:sz w:val="24"/>
        </w:rPr>
        <w:t>前端通过Fetch API异步请求后端数据接口，获取JSON格式的分析数据后，使用ECharts的setOption方法动态渲染图表。以年度排放趋势图为例，实现代码如下：</w:t>
      </w:r>
    </w:p>
    <w:p w14:paraId="17919FF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年度排放趋势图 - 异步加载与渲染</w:t>
      </w:r>
    </w:p>
    <w:p w14:paraId="32B5E10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var trendChart = echarts.init(document.getElementById('trendChart'));</w:t>
      </w:r>
    </w:p>
    <w:p w14:paraId="6AC2790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trendChart.showLoading({text: '加载中...', color: '#2563EB'});</w:t>
      </w:r>
    </w:p>
    <w:p w14:paraId="28BA31B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39FDBE0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fetch('/analysis/api/trend-data/')</w:t>
      </w:r>
    </w:p>
    <w:p w14:paraId="50DB450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.then(function(res) { return res.json(); })</w:t>
      </w:r>
    </w:p>
    <w:p w14:paraId="4CC7916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.then(function(resp) {</w:t>
      </w:r>
    </w:p>
    <w:p w14:paraId="4BBF88D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trendChart.hideLoading();</w:t>
      </w:r>
    </w:p>
    <w:p w14:paraId="0054509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var d = resp.data || {};</w:t>
      </w:r>
    </w:p>
    <w:p w14:paraId="64D3145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trendChart.setOption({</w:t>
      </w:r>
    </w:p>
    <w:p w14:paraId="0501F4B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tooltip: { trigger: 'axis', axisPointer: { type: 'shadow' } },</w:t>
      </w:r>
    </w:p>
    <w:p w14:paraId="770FD2D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grid: { left: '3%', right: '4%', bottom: '3%', containLabel: true },</w:t>
      </w:r>
    </w:p>
    <w:p w14:paraId="024FC45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xAxis: { type: 'category', data: d.labels || [] },</w:t>
      </w:r>
    </w:p>
    <w:p w14:paraId="40CEB38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yAxis: { type: 'value', name: '万吨CO2' },</w:t>
      </w:r>
    </w:p>
    <w:p w14:paraId="0823C18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series: [{</w:t>
      </w:r>
    </w:p>
    <w:p w14:paraId="1CDCD43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name: '排放量', type: 'line', smooth: true,</w:t>
      </w:r>
    </w:p>
    <w:p w14:paraId="7CCE6A4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lineStyle: { width: 3, color: '#2563EB' },</w:t>
      </w:r>
    </w:p>
    <w:p w14:paraId="434A17B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areaStyle: { color: 'rgba(37,99,235,0.15)' },</w:t>
      </w:r>
    </w:p>
    <w:p w14:paraId="12318A0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d.values || []</w:t>
      </w:r>
    </w:p>
    <w:p w14:paraId="44E26E6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572ADB3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97E30A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10693C0">
      <w:pPr>
        <w:spacing w:line="400" w:lineRule="exact"/>
        <w:ind w:firstLine="480" w:firstLineChars="200"/>
        <w:jc w:val="both"/>
        <w:rPr>
          <w:color w:val="auto"/>
        </w:rPr>
      </w:pPr>
      <w:r>
        <w:rPr>
          <w:rFonts w:ascii="Times New Roman" w:hAnsi="Times New Roman" w:eastAsia="SimSun"/>
          <w:b w:val="0"/>
          <w:color w:val="auto"/>
          <w:sz w:val="24"/>
        </w:rPr>
        <w:t>所有图表均注册了窗口resize事件监听器，当浏览器窗口大小发生变化时自动调用chart.resize()方法，确保图表尺寸与容器保持同步。</w:t>
      </w:r>
    </w:p>
    <w:p w14:paraId="6B06AAF9">
      <w:pPr>
        <w:spacing w:line="400" w:lineRule="exact"/>
        <w:ind w:firstLine="482" w:firstLineChars="200"/>
        <w:jc w:val="both"/>
        <w:rPr>
          <w:color w:val="auto"/>
        </w:rPr>
      </w:pPr>
      <w:r>
        <w:rPr>
          <w:rFonts w:ascii="Times New Roman" w:hAnsi="Times New Roman" w:eastAsia="SimSun"/>
          <w:b/>
          <w:color w:val="auto"/>
          <w:sz w:val="24"/>
        </w:rPr>
        <w:t>（3）统计卡片动态展示</w:t>
      </w:r>
    </w:p>
    <w:p w14:paraId="4C174C6E">
      <w:pPr>
        <w:spacing w:line="400" w:lineRule="exact"/>
        <w:ind w:firstLine="480" w:firstLineChars="200"/>
        <w:jc w:val="both"/>
        <w:rPr>
          <w:color w:val="auto"/>
        </w:rPr>
      </w:pPr>
      <w:r>
        <w:rPr>
          <w:rFonts w:ascii="Times New Roman" w:hAnsi="Times New Roman" w:eastAsia="SimSun"/>
          <w:b w:val="0"/>
          <w:color w:val="auto"/>
          <w:sz w:val="24"/>
        </w:rPr>
        <w:t>仪表盘顶部的核心指标卡片通过Django模板变量注入实时数据，结合CSS动画和渐变色彩实现视觉强调效果，使关键数据一目了然。</w:t>
      </w:r>
    </w:p>
    <w:p w14:paraId="4C18710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&lt;!-- 统计指标卡片 --&gt;</w:t>
      </w:r>
    </w:p>
    <w:p w14:paraId="57CA17F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&lt;div class="row g-3 mb-4"&gt;</w:t>
      </w:r>
    </w:p>
    <w:p w14:paraId="7E2735F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class="col-md-3"&gt;</w:t>
      </w:r>
    </w:p>
    <w:p w14:paraId="5B75CDF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class="stat-card"&gt;</w:t>
      </w:r>
    </w:p>
    <w:p w14:paraId="6CDAE50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class="stat-icon blue"&gt;</w:t>
      </w:r>
    </w:p>
    <w:p w14:paraId="66E20A6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&lt;i class="bi bi-globe2" style="font-size:24px;"&gt;&lt;/i&gt;</w:t>
      </w:r>
    </w:p>
    <w:p w14:paraId="60EA5E1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346065D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class="stat-value"&gt;{{ total_emission|floatformat:2 }}&lt;/div&gt;</w:t>
      </w:r>
    </w:p>
    <w:p w14:paraId="6DB7B23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class="stat-label"&gt;排放总量 (万吨CO2)&lt;/div&gt;</w:t>
      </w:r>
    </w:p>
    <w:p w14:paraId="3BCFBFA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5D823F2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3B457DA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class="col-md-3"&gt;</w:t>
      </w:r>
    </w:p>
    <w:p w14:paraId="4C8B2DA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class="stat-card"&gt;</w:t>
      </w:r>
    </w:p>
    <w:p w14:paraId="48E6195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class="stat-icon green"&gt;</w:t>
      </w:r>
    </w:p>
    <w:p w14:paraId="14A2904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&lt;i class="bi bi-calendar-check" style="font-size:24px;"&gt;&lt;/i&gt;</w:t>
      </w:r>
    </w:p>
    <w:p w14:paraId="589BFB4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5649B76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class="stat-value"&gt;{{ latest_emission|floatformat:2 }}&lt;/div&gt;</w:t>
      </w:r>
    </w:p>
    <w:p w14:paraId="6B94931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class="stat-label"&gt;{{ latest_year }}年排放量 (万吨)&lt;/div&gt;</w:t>
      </w:r>
    </w:p>
    <w:p w14:paraId="3AD8045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 class="stat-change {% if change_rate &gt; 0 %}up{% else %}down{% endif %}"&gt;</w:t>
      </w:r>
    </w:p>
    <w:p w14:paraId="3C0D2FF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 change_rate|floatformat:1 }}%</w:t>
      </w:r>
    </w:p>
    <w:p w14:paraId="2E75230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10250EF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01A5833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&lt;/div&gt;</w:t>
      </w:r>
    </w:p>
    <w:p w14:paraId="3F06E55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&lt;/div&gt;</w:t>
      </w:r>
    </w:p>
    <w:p w14:paraId="0EB595A8">
      <w:pPr>
        <w:spacing w:line="400" w:lineRule="exact"/>
        <w:ind w:firstLine="480" w:firstLineChars="200"/>
        <w:jc w:val="both"/>
        <w:rPr>
          <w:color w:val="auto"/>
        </w:rPr>
      </w:pPr>
      <w:r>
        <w:rPr>
          <w:rFonts w:ascii="Times New Roman" w:hAnsi="Times New Roman" w:eastAsia="SimSun"/>
          <w:b w:val="0"/>
          <w:color w:val="auto"/>
          <w:sz w:val="24"/>
        </w:rPr>
        <w:t>每张卡片包含图标、核心数值和描述标签三部分，同比变化率通过条件判断显示红色上升箭头或绿色下降箭头，帮助用户快速识别排放变化方向。</w:t>
      </w:r>
    </w:p>
    <w:p w14:paraId="51539986">
      <w:pPr>
        <w:pStyle w:val="5"/>
        <w:keepNext/>
        <w:keepLines/>
        <w:spacing w:before="156" w:beforeLines="50" w:after="156" w:afterLines="50" w:line="400" w:lineRule="exact"/>
        <w:ind w:firstLine="0" w:firstLineChars="0"/>
        <w:jc w:val="left"/>
        <w:rPr>
          <w:color w:val="auto"/>
        </w:rPr>
      </w:pPr>
      <w:bookmarkStart w:id="36" w:name="_Toc27889"/>
      <w:r>
        <w:rPr>
          <w:rFonts w:ascii="Times New Roman" w:hAnsi="Times New Roman" w:eastAsia="SimSun"/>
          <w:b/>
          <w:color w:val="auto"/>
          <w:sz w:val="24"/>
        </w:rPr>
        <w:t>5.2.2 可视化大屏的后端实现</w:t>
      </w:r>
      <w:bookmarkEnd w:id="36"/>
    </w:p>
    <w:p w14:paraId="4C9F66A0">
      <w:pPr>
        <w:spacing w:line="400" w:lineRule="exact"/>
        <w:ind w:firstLine="482" w:firstLineChars="200"/>
        <w:jc w:val="both"/>
        <w:rPr>
          <w:color w:val="auto"/>
        </w:rPr>
      </w:pPr>
      <w:r>
        <w:rPr>
          <w:rFonts w:ascii="Times New Roman" w:hAnsi="Times New Roman" w:eastAsia="SimSun"/>
          <w:b/>
          <w:color w:val="auto"/>
          <w:sz w:val="24"/>
        </w:rPr>
        <w:t>（1）数据分析API设计</w:t>
      </w:r>
    </w:p>
    <w:p w14:paraId="41D51633">
      <w:pPr>
        <w:spacing w:line="400" w:lineRule="exact"/>
        <w:ind w:firstLine="480" w:firstLineChars="200"/>
        <w:jc w:val="both"/>
        <w:rPr>
          <w:color w:val="auto"/>
        </w:rPr>
      </w:pPr>
      <w:r>
        <w:rPr>
          <w:rFonts w:ascii="Times New Roman" w:hAnsi="Times New Roman" w:eastAsia="SimSun"/>
          <w:b w:val="0"/>
          <w:color w:val="auto"/>
          <w:sz w:val="24"/>
        </w:rPr>
        <w:t>后端采用RESTful风格设计数据分析API接口，通过Django视图函数处理前端请求，执行数据库聚合查询并返回JSON格式结果。以排放趋势数据接口为例，实现代码如下：</w:t>
      </w:r>
    </w:p>
    <w:p w14:paraId="45805C2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134243C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api_trend_data(request):</w:t>
      </w:r>
    </w:p>
    <w:p w14:paraId="60AF0A8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"""API - 排放趋势数据"""</w:t>
      </w:r>
    </w:p>
    <w:p w14:paraId="61AB6C8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source_id = request.GET.get('source')</w:t>
      </w:r>
    </w:p>
    <w:p w14:paraId="187C676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region_id = request.GET.get('region')</w:t>
      </w:r>
    </w:p>
    <w:p w14:paraId="50A9FD9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start_year = int(request.GET.get('start_year', 2015))</w:t>
      </w:r>
    </w:p>
    <w:p w14:paraId="0E57B51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end_year = int(request.GET.get('end_year', 2025))</w:t>
      </w:r>
    </w:p>
    <w:p w14:paraId="70C651F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6B7AA0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EmissionRecord.objects.filter(</w:t>
      </w:r>
    </w:p>
    <w:p w14:paraId="486C326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year__gte=start_year, year__lte=end_year</w:t>
      </w:r>
    </w:p>
    <w:p w14:paraId="1D81E9A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0E59B35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source_id:</w:t>
      </w:r>
    </w:p>
    <w:p w14:paraId="54D1D9D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data.filter(source_id=int(source_id))</w:t>
      </w:r>
    </w:p>
    <w:p w14:paraId="337886E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region_id:</w:t>
      </w:r>
    </w:p>
    <w:p w14:paraId="655E0B7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data.filter(region_id=int(region_id))</w:t>
      </w:r>
    </w:p>
    <w:p w14:paraId="30E7EA6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3B05E0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 = data.values('year').annotate(</w:t>
      </w:r>
    </w:p>
    <w:p w14:paraId="343E364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w:t>
      </w:r>
    </w:p>
    <w:p w14:paraId="6D98F86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).order_by('year')</w:t>
      </w:r>
    </w:p>
    <w:p w14:paraId="1117A28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54242F6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labels = [str(r['year']) for r in result]</w:t>
      </w:r>
    </w:p>
    <w:p w14:paraId="1A2A6E3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values = [round(r['total'], 2) for r in result]</w:t>
      </w:r>
    </w:p>
    <w:p w14:paraId="031ABA3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AD8F4E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JsonResponse({</w:t>
      </w:r>
    </w:p>
    <w:p w14:paraId="5A7EE0F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'code': 0,</w:t>
      </w:r>
    </w:p>
    <w:p w14:paraId="779A5E2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{'labels': labels, 'values': values}</w:t>
      </w:r>
    </w:p>
    <w:p w14:paraId="4B13E91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52FFF0CF">
      <w:pPr>
        <w:spacing w:line="400" w:lineRule="exact"/>
        <w:ind w:firstLine="480" w:firstLineChars="200"/>
        <w:jc w:val="both"/>
        <w:rPr>
          <w:color w:val="auto"/>
        </w:rPr>
      </w:pPr>
      <w:r>
        <w:rPr>
          <w:rFonts w:ascii="Times New Roman" w:hAnsi="Times New Roman" w:eastAsia="SimSun"/>
          <w:b w:val="0"/>
          <w:color w:val="auto"/>
          <w:sz w:val="24"/>
        </w:rPr>
        <w:t>API接口支持排放源、地区、时间范围等多种筛选参数，利用Django ORM的annotate和aggregate方法实现高效的分组聚合查询，避免了在应用层进行大量数据遍历计算。所有API接口统一采用JSON格式返回数据，返回体包含状态码（code）和数据体（data）两个标准字段，方便前端进行统一的响应处理和错误判断。在接口安全方面，所有数据接口均通过Django的@login_required装饰器进行登录认证保护，防止未授权用户直接访问数据接口。对于管理员专属的数据修改接口，还额外添加了角色权限校验逻辑，确保只有管理员用户才能执行数据的增删改操作。此外，系统在关键业务操作（如预测执行、数据修改、阈值配置变更）的处理流程中插入了操作日志记录逻辑，将操作类型、操作用户、IP地址和操作时间写入操作日志表，为系统的安全审计和问题回溯提供了完整的操作记录。</w:t>
      </w:r>
    </w:p>
    <w:p w14:paraId="752BAB99">
      <w:pPr>
        <w:spacing w:line="400" w:lineRule="exact"/>
        <w:ind w:firstLine="482" w:firstLineChars="200"/>
        <w:jc w:val="both"/>
        <w:rPr>
          <w:color w:val="auto"/>
        </w:rPr>
      </w:pPr>
      <w:r>
        <w:rPr>
          <w:rFonts w:ascii="Times New Roman" w:hAnsi="Times New Roman" w:eastAsia="SimSun"/>
          <w:b/>
          <w:color w:val="auto"/>
          <w:sz w:val="24"/>
        </w:rPr>
        <w:t>（2）智能预测引擎实现</w:t>
      </w:r>
    </w:p>
    <w:p w14:paraId="52940C68">
      <w:pPr>
        <w:spacing w:line="400" w:lineRule="exact"/>
        <w:ind w:firstLine="480" w:firstLineChars="200"/>
        <w:jc w:val="both"/>
        <w:rPr>
          <w:color w:val="auto"/>
        </w:rPr>
      </w:pPr>
      <w:r>
        <w:rPr>
          <w:rFonts w:ascii="Times New Roman" w:hAnsi="Times New Roman" w:eastAsia="SimSun"/>
          <w:b w:val="0"/>
          <w:color w:val="auto"/>
          <w:sz w:val="24"/>
        </w:rPr>
        <w:t>预测模块基于NumPy构建了统计预测引擎，通过线性回归拟合历史趋势，结合近期数据的变化率进行趋势外推，并根据选择的模型类型设置差异化参数。</w:t>
      </w:r>
    </w:p>
    <w:p w14:paraId="7A7CBCE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_statistical_predict(history, n_predict, model_type='cnn_lstm'):</w:t>
      </w:r>
    </w:p>
    <w:p w14:paraId="5E42926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"""统计方法预测（降级方案）"""</w:t>
      </w:r>
    </w:p>
    <w:p w14:paraId="4902B18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values = np.array(history)</w:t>
      </w:r>
    </w:p>
    <w:p w14:paraId="3842BCC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n = len(values)</w:t>
      </w:r>
    </w:p>
    <w:p w14:paraId="2E2FDEF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1BBAAA0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 线性回归拟合趋势</w:t>
      </w:r>
    </w:p>
    <w:p w14:paraId="2546862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x = np.arange(n)</w:t>
      </w:r>
    </w:p>
    <w:p w14:paraId="23AC05C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coeffs = np.polyfit(x, values, 1)</w:t>
      </w:r>
    </w:p>
    <w:p w14:paraId="2ABAA3F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slope, intercept = coeffs</w:t>
      </w:r>
    </w:p>
    <w:p w14:paraId="1A85AA1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14C09C5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 计算近期变化趋势</w:t>
      </w:r>
    </w:p>
    <w:p w14:paraId="3C9277A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n &gt;= 5:</w:t>
      </w:r>
    </w:p>
    <w:p w14:paraId="455B271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recent_trend = np.mean(np.diff(values[-5:]))</w:t>
      </w:r>
    </w:p>
    <w:p w14:paraId="3DE0490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else:</w:t>
      </w:r>
    </w:p>
    <w:p w14:paraId="542D91C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recent_trend = np.mean(np.diff(values))</w:t>
      </w:r>
    </w:p>
    <w:p w14:paraId="3376011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5A0361E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predictions = []</w:t>
      </w:r>
    </w:p>
    <w:p w14:paraId="1BFF0CE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for i in range(n_predict):</w:t>
      </w:r>
    </w:p>
    <w:p w14:paraId="18516CA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base = slope * (n + i) + intercept</w:t>
      </w:r>
    </w:p>
    <w:p w14:paraId="481E2B2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trend_adj = recent_trend * (0.8 ** i)  # 趋势衰减</w:t>
      </w:r>
    </w:p>
    <w:p w14:paraId="7B7CC84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model_type == 'cnn_lstm':</w:t>
      </w:r>
    </w:p>
    <w:p w14:paraId="3D1E54D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noise = np.random.normal(0, abs(slope) * 0.08)</w:t>
      </w:r>
    </w:p>
    <w:p w14:paraId="63CF6DC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pred = base * 0.5 + (values[-1] + trend_adj * (i+1)) * 0.5 + noise</w:t>
      </w:r>
    </w:p>
    <w:p w14:paraId="2FE5BF1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predictions.append(max(pred, 0))</w:t>
      </w:r>
    </w:p>
    <w:p w14:paraId="3ED4DD3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predictions</w:t>
      </w:r>
    </w:p>
    <w:p w14:paraId="67620AAB">
      <w:pPr>
        <w:spacing w:line="400" w:lineRule="exact"/>
        <w:ind w:firstLine="480" w:firstLineChars="200"/>
        <w:jc w:val="both"/>
        <w:rPr>
          <w:color w:val="auto"/>
        </w:rPr>
      </w:pPr>
      <w:r>
        <w:rPr>
          <w:rFonts w:ascii="Times New Roman" w:hAnsi="Times New Roman" w:eastAsia="SimSun"/>
          <w:b w:val="0"/>
          <w:color w:val="auto"/>
          <w:sz w:val="24"/>
        </w:rPr>
        <w:t>预测结果会自动保存至数据库，记录预测值、模型类型、置信度及MAE、RMSE、R²等评估指标，为后续的模型性能对比和历史回溯提供数据支撑。</w:t>
      </w:r>
    </w:p>
    <w:p w14:paraId="35F2C90B">
      <w:pPr>
        <w:spacing w:line="400" w:lineRule="exact"/>
        <w:ind w:firstLine="482" w:firstLineChars="200"/>
        <w:jc w:val="both"/>
        <w:rPr>
          <w:color w:val="auto"/>
        </w:rPr>
      </w:pPr>
      <w:r>
        <w:rPr>
          <w:rFonts w:ascii="Times New Roman" w:hAnsi="Times New Roman" w:eastAsia="SimSun"/>
          <w:b/>
          <w:color w:val="auto"/>
          <w:sz w:val="24"/>
        </w:rPr>
        <w:t>（3）预警阈值检测实现</w:t>
      </w:r>
    </w:p>
    <w:p w14:paraId="22B9D2F1">
      <w:pPr>
        <w:spacing w:line="400" w:lineRule="exact"/>
        <w:ind w:firstLine="480" w:firstLineChars="200"/>
        <w:jc w:val="both"/>
        <w:rPr>
          <w:color w:val="auto"/>
        </w:rPr>
      </w:pPr>
      <w:r>
        <w:rPr>
          <w:rFonts w:ascii="Times New Roman" w:hAnsi="Times New Roman" w:eastAsia="SimSun"/>
          <w:b w:val="0"/>
          <w:color w:val="auto"/>
          <w:sz w:val="24"/>
        </w:rPr>
        <w:t>预警模块支持正态分布法和参考排放标准两种阈值计算方法，能够自动检测碳排放数据是否超出预设阈值，并按黄色、橙色、红色三个级别生成预警记录。</w:t>
      </w:r>
    </w:p>
    <w:p w14:paraId="62D4217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7073617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api_alert_stats(request):</w:t>
      </w:r>
    </w:p>
    <w:p w14:paraId="48825F7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"""API - 预警统计"""</w:t>
      </w:r>
    </w:p>
    <w:p w14:paraId="1C4AD2C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stats = AlertRecord.objects.aggregate(</w:t>
      </w:r>
    </w:p>
    <w:p w14:paraId="6F837FA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total=Count('id'),</w:t>
      </w:r>
    </w:p>
    <w:p w14:paraId="35BBA77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unread=Count('id', filter=Q(is_read=False)),</w:t>
      </w:r>
    </w:p>
    <w:p w14:paraId="164EF15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yellow=Count('id', filter=Q(alert_level='yellow')),</w:t>
      </w:r>
    </w:p>
    <w:p w14:paraId="244AE85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orange=Count('id', filter=Q(alert_level='orange')),</w:t>
      </w:r>
    </w:p>
    <w:p w14:paraId="3B4EF4D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red=Count('id', filter=Q(alert_level='red')),</w:t>
      </w:r>
    </w:p>
    <w:p w14:paraId="3C6FFBD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3B7C439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JsonResponse({'code': 0, 'data': stats})</w:t>
      </w:r>
    </w:p>
    <w:p w14:paraId="6C3F50D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35AA9D3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02FB07D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4E440AB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api_recent_alerts(request):</w:t>
      </w:r>
    </w:p>
    <w:p w14:paraId="41B82AB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"""API - 最近预警"""</w:t>
      </w:r>
    </w:p>
    <w:p w14:paraId="4B4E55B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alerts = AlertRecord.objects.select_related(</w:t>
      </w:r>
    </w:p>
    <w:p w14:paraId="428DEC2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'emission_record__region', 'emission_record__source'</w:t>
      </w:r>
    </w:p>
    <w:p w14:paraId="5E08DF9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).order_by('-created_at')[:10]</w:t>
      </w:r>
    </w:p>
    <w:p w14:paraId="30F8B6E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6B79519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 = [{</w:t>
      </w:r>
    </w:p>
    <w:p w14:paraId="3965CBA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'id': a.id, 'level': a.alert_level,</w:t>
      </w:r>
    </w:p>
    <w:p w14:paraId="724835E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'message': a.alert_message,</w:t>
      </w:r>
    </w:p>
    <w:p w14:paraId="2E056AD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'value': a.emission_value,</w:t>
      </w:r>
    </w:p>
    <w:p w14:paraId="6B46271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'threshold': a.threshold_value,</w:t>
      </w:r>
    </w:p>
    <w:p w14:paraId="022F765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'is_read': a.is_read,</w:t>
      </w:r>
    </w:p>
    <w:p w14:paraId="5AC76F4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'created_at': a.created_at.strftime('%Y-%m-%d %H:%M'),</w:t>
      </w:r>
    </w:p>
    <w:p w14:paraId="2023CFA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 for a in alerts]</w:t>
      </w:r>
    </w:p>
    <w:p w14:paraId="63E18F9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JsonResponse({'code': 0, 'data': result})</w:t>
      </w:r>
    </w:p>
    <w:p w14:paraId="7560BF87">
      <w:pPr>
        <w:spacing w:line="400" w:lineRule="exact"/>
        <w:ind w:firstLine="480" w:firstLineChars="200"/>
        <w:jc w:val="both"/>
        <w:rPr>
          <w:color w:val="auto"/>
        </w:rPr>
      </w:pPr>
      <w:r>
        <w:rPr>
          <w:rFonts w:ascii="Times New Roman" w:hAnsi="Times New Roman" w:eastAsia="SimSun"/>
          <w:b w:val="0"/>
          <w:color w:val="auto"/>
          <w:sz w:val="24"/>
        </w:rPr>
        <w:t>预警检测在数据写入时自动触发，通过比对排放值与配置的阈值上限，生成包含预警级别、预警信息、排放值和阈值的预警记录，并支持管理员进行标记已读和处理确认操作。预警模块的正态分布法通过计算同维度历史排放数据的均值和标准差，自动确定预警阈值：排放值超过均值加1.5倍标准差时触发黄色预警，超过均值加2倍标准差时触发橙色预警，超过均值加3倍标准差时触发红色预警。参考排放标准法则允许管理员根据国家或地方排放标准手动设置细化的阈值数值和对应的预警级别，适用于有明确排放限额要求的场景。两种阈值计算方法可以针对不同的地区和行业灵活配置，使预警规则既能基于历史数据的统计规律自动设定，也能满足行政监管的刚性标准要求。</w:t>
      </w:r>
    </w:p>
    <w:p w14:paraId="5FDEE78F">
      <w:pPr>
        <w:pStyle w:val="4"/>
        <w:keepNext/>
        <w:keepLines/>
        <w:spacing w:before="312" w:beforeLines="100" w:after="312" w:afterLines="100" w:line="400" w:lineRule="exact"/>
        <w:ind w:firstLine="0" w:firstLineChars="0"/>
        <w:jc w:val="left"/>
        <w:rPr>
          <w:color w:val="auto"/>
        </w:rPr>
      </w:pPr>
      <w:bookmarkStart w:id="37" w:name="_Toc15436"/>
      <w:r>
        <w:rPr>
          <w:rFonts w:ascii="Times New Roman" w:hAnsi="Times New Roman" w:eastAsia="SimSun"/>
          <w:b/>
          <w:color w:val="auto"/>
          <w:sz w:val="28"/>
        </w:rPr>
        <w:t>5.3 可视化大屏展示</w:t>
      </w:r>
      <w:bookmarkEnd w:id="37"/>
    </w:p>
    <w:p w14:paraId="508E071C">
      <w:pPr>
        <w:pStyle w:val="5"/>
        <w:keepNext/>
        <w:keepLines/>
        <w:spacing w:before="156" w:beforeLines="50" w:after="156" w:afterLines="50" w:line="400" w:lineRule="exact"/>
        <w:ind w:firstLine="0" w:firstLineChars="0"/>
        <w:jc w:val="left"/>
        <w:rPr>
          <w:color w:val="auto"/>
        </w:rPr>
      </w:pPr>
      <w:bookmarkStart w:id="38" w:name="_Toc595"/>
      <w:r>
        <w:rPr>
          <w:rFonts w:ascii="Times New Roman" w:hAnsi="Times New Roman" w:eastAsia="SimSun"/>
          <w:b/>
          <w:color w:val="auto"/>
          <w:sz w:val="24"/>
        </w:rPr>
        <w:t>5.3.1 数据仪表盘模块</w:t>
      </w:r>
      <w:bookmarkEnd w:id="38"/>
    </w:p>
    <w:p w14:paraId="57FD7E02">
      <w:pPr>
        <w:spacing w:line="400" w:lineRule="exact"/>
        <w:ind w:firstLine="480" w:firstLineChars="200"/>
        <w:jc w:val="both"/>
        <w:rPr>
          <w:color w:val="auto"/>
        </w:rPr>
      </w:pPr>
      <w:r>
        <w:rPr>
          <w:rFonts w:ascii="Times New Roman" w:hAnsi="Times New Roman" w:eastAsia="SimSun"/>
          <w:b w:val="0"/>
          <w:color w:val="auto"/>
          <w:sz w:val="24"/>
        </w:rPr>
        <w:t>数据仪表盘是用户登录系统后的首个页面，承担着数据总览和快速导航的功能。仪表盘顶部展示排放总量、最新年排放、排放源数和数据记录数四个核心统计卡片，中部展示年度排放趋势图和排放源结构饼图，底部展示地区排放TOP10和最新预警列表。关键实现代码如下：</w:t>
      </w:r>
    </w:p>
    <w:p w14:paraId="0AC2B6B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27A89B1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dashboard(request):</w:t>
      </w:r>
    </w:p>
    <w:p w14:paraId="7547294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"""数据仪表盘"""</w:t>
      </w:r>
    </w:p>
    <w:p w14:paraId="6AECC1C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total_emission = EmissionRecord.objects.aggregate(</w:t>
      </w:r>
    </w:p>
    <w:p w14:paraId="2FB6984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total=Sum('emission_amount'))['total'] or 0</w:t>
      </w:r>
    </w:p>
    <w:p w14:paraId="7880285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latest_year = 2025</w:t>
      </w:r>
    </w:p>
    <w:p w14:paraId="520E244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latest_emission = EmissionRecord.objects.filter(</w:t>
      </w:r>
    </w:p>
    <w:p w14:paraId="7C23CFF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year=latest_year).aggregate(</w:t>
      </w:r>
    </w:p>
    <w:p w14:paraId="2C6B40F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total=Sum('emission_amount'))['total'] or 0</w:t>
      </w:r>
    </w:p>
    <w:p w14:paraId="1BE6569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prev_emission = EmissionRecord.objects.filter(</w:t>
      </w:r>
    </w:p>
    <w:p w14:paraId="44CE43B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year=latest_year-1).aggregate(</w:t>
      </w:r>
    </w:p>
    <w:p w14:paraId="632C90C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total=Sum('emission_amount'))['total'] or 1</w:t>
      </w:r>
    </w:p>
    <w:p w14:paraId="38497B7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change_rate = round(</w:t>
      </w:r>
    </w:p>
    <w:p w14:paraId="5E6D71F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(latest_emission - prev_emission) / prev_emission * 100, 1)</w:t>
      </w:r>
    </w:p>
    <w:p w14:paraId="46D6E69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7DFB95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context = {</w:t>
      </w:r>
    </w:p>
    <w:p w14:paraId="0B31727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'total_emission': total_emission,</w:t>
      </w:r>
    </w:p>
    <w:p w14:paraId="382EE90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'latest_emission': latest_emission,</w:t>
      </w:r>
    </w:p>
    <w:p w14:paraId="7F126DC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'latest_year': latest_year,</w:t>
      </w:r>
    </w:p>
    <w:p w14:paraId="7FFD235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'change_rate': change_rate,</w:t>
      </w:r>
    </w:p>
    <w:p w14:paraId="3BBFA64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'source_count': EmissionSource.objects.count(),</w:t>
      </w:r>
    </w:p>
    <w:p w14:paraId="34D7B3A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'record_count': EmissionRecord.objects.count(),</w:t>
      </w:r>
    </w:p>
    <w:p w14:paraId="583528E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'recent_alerts': AlertRecord.objects.order_by(</w:t>
      </w:r>
    </w:p>
    <w:p w14:paraId="6C92428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'-created_at')[:5],</w:t>
      </w:r>
    </w:p>
    <w:p w14:paraId="7545A0C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5ACA325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render(request, 'front/dashboard.html', context)</w:t>
      </w:r>
    </w:p>
    <w:p w14:paraId="0EB3E33E">
      <w:pPr>
        <w:spacing w:line="400" w:lineRule="exact"/>
        <w:ind w:firstLine="480" w:firstLineChars="200"/>
        <w:jc w:val="both"/>
        <w:rPr>
          <w:color w:val="auto"/>
        </w:rPr>
      </w:pPr>
      <w:r>
        <w:rPr>
          <w:rFonts w:ascii="Times New Roman" w:hAnsi="Times New Roman" w:eastAsia="SimSun"/>
          <w:b w:val="0"/>
          <w:color w:val="auto"/>
          <w:sz w:val="24"/>
        </w:rPr>
        <w:t>仪表盘通过一次页面加载即可呈现全局数据概貌，图表部分采用异步加载机制，在页面渲染完成后通过Ajax并行请求多个数据接口，避免了同步等待造成的页面加载延迟。为了提升首屏加载速度，仪表盘页面将核心统计指标通过Django模板变量直接嵌入HTML中进行服务端渲染，确保用户在页面加载完成的第一时间即可看到关键数据数值，而图表部分则在页面DOM加载完毕后通过JavaScript异步请求数据接口并渲染，这种服务端渲染与客户端渲染相结合的混合策略在保证数据实时性的同时最大化了用户的感知加载速度。</w:t>
      </w:r>
    </w:p>
    <w:p w14:paraId="1BD2D3F6">
      <w:pPr>
        <w:pStyle w:val="168"/>
        <w:bidi w:val="0"/>
      </w:pPr>
      <w:r>
        <w:rPr/>
        <w:drawing>
          <wp:inline distT="0" distB="0" distL="114300" distR="114300">
            <wp:extent cx="5386070" cy="2527935"/>
            <wp:effectExtent l="0" t="0" r="8890" b="190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7"/>
                    <a:stretch>
                      <a:fillRect/>
                    </a:stretch>
                  </pic:blipFill>
                  <pic:spPr>
                    <a:xfrm>
                      <a:off x="0" y="0"/>
                      <a:ext cx="5386070" cy="2527935"/>
                    </a:xfrm>
                    <a:prstGeom prst="rect">
                      <a:avLst/>
                    </a:prstGeom>
                    <a:noFill/>
                    <a:ln>
                      <a:noFill/>
                    </a:ln>
                  </pic:spPr>
                </pic:pic>
              </a:graphicData>
            </a:graphic>
          </wp:inline>
        </w:drawing>
      </w:r>
    </w:p>
    <w:p w14:paraId="7E278F09">
      <w:pPr>
        <w:spacing w:line="400" w:lineRule="exact"/>
        <w:ind w:firstLine="0" w:firstLineChars="0"/>
        <w:jc w:val="center"/>
        <w:rPr>
          <w:color w:val="auto"/>
        </w:rPr>
      </w:pPr>
      <w:r>
        <w:rPr>
          <w:rFonts w:ascii="Times New Roman" w:hAnsi="Times New Roman" w:eastAsia="KaiTi"/>
          <w:b w:val="0"/>
          <w:color w:val="auto"/>
          <w:sz w:val="21"/>
        </w:rPr>
        <w:t>图5-2 数据仪表盘展示效果</w:t>
      </w:r>
    </w:p>
    <w:p w14:paraId="70AECE50">
      <w:pPr>
        <w:spacing w:line="400" w:lineRule="exact"/>
        <w:ind w:firstLine="480" w:firstLineChars="200"/>
        <w:jc w:val="both"/>
        <w:rPr>
          <w:color w:val="auto"/>
        </w:rPr>
      </w:pPr>
      <w:r>
        <w:rPr>
          <w:rFonts w:ascii="Times New Roman" w:hAnsi="Times New Roman" w:eastAsia="SimSun"/>
          <w:b w:val="0"/>
          <w:color w:val="auto"/>
          <w:sz w:val="24"/>
        </w:rPr>
        <w:t>仪表盘整体布局采用2×2的卡片网格加2×2的图表网格，信息密度适中，用户可在一屏之内快速获取碳排放数据的全局概况，并通过点击左侧导航栏直接访问详细的分析页面。</w:t>
      </w:r>
    </w:p>
    <w:p w14:paraId="37E9B604">
      <w:pPr>
        <w:pStyle w:val="5"/>
        <w:keepNext/>
        <w:keepLines/>
        <w:spacing w:before="156" w:beforeLines="50" w:after="156" w:afterLines="50" w:line="400" w:lineRule="exact"/>
        <w:ind w:firstLine="0" w:firstLineChars="0"/>
        <w:jc w:val="left"/>
        <w:rPr>
          <w:color w:val="auto"/>
        </w:rPr>
      </w:pPr>
      <w:bookmarkStart w:id="39" w:name="_Toc14311"/>
      <w:r>
        <w:rPr>
          <w:rFonts w:ascii="Times New Roman" w:hAnsi="Times New Roman" w:eastAsia="SimSun"/>
          <w:b/>
          <w:color w:val="auto"/>
          <w:sz w:val="24"/>
        </w:rPr>
        <w:t>5.3.2 排放趋势分析模块</w:t>
      </w:r>
      <w:bookmarkEnd w:id="39"/>
    </w:p>
    <w:p w14:paraId="43254A99">
      <w:pPr>
        <w:spacing w:line="400" w:lineRule="exact"/>
        <w:ind w:firstLine="480" w:firstLineChars="200"/>
        <w:jc w:val="both"/>
        <w:rPr>
          <w:color w:val="auto"/>
        </w:rPr>
      </w:pPr>
      <w:r>
        <w:rPr>
          <w:rFonts w:ascii="Times New Roman" w:hAnsi="Times New Roman" w:eastAsia="SimSun"/>
          <w:b w:val="0"/>
          <w:color w:val="auto"/>
          <w:sz w:val="24"/>
        </w:rPr>
        <w:t>排放趋势分析模块提供了碳排放数据按时间维度的变化趋势查看功能。页面顶部设有排放源、地区、时间范围和时间粒度（年/季度）四个筛选条件，用户可灵活组合条件进行交互式查询。核心数据加载逻辑如下：</w:t>
      </w:r>
    </w:p>
    <w:p w14:paraId="6865491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37BAF79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api_trend_data(request):</w:t>
      </w:r>
    </w:p>
    <w:p w14:paraId="0385606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"""排放趋势数据API"""</w:t>
      </w:r>
    </w:p>
    <w:p w14:paraId="706A34E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source_id = request.GET.get('source')</w:t>
      </w:r>
    </w:p>
    <w:p w14:paraId="07C9780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region_id = request.GET.get('region')</w:t>
      </w:r>
    </w:p>
    <w:p w14:paraId="304B176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start_year = int(request.GET.get('start_year', 2015))</w:t>
      </w:r>
    </w:p>
    <w:p w14:paraId="2E1EDC3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end_year = int(request.GET.get('end_year', 2025))</w:t>
      </w:r>
    </w:p>
    <w:p w14:paraId="7DF6756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granularity = request.GET.get('granularity', 'year')</w:t>
      </w:r>
    </w:p>
    <w:p w14:paraId="3B4BA77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1B40B10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EmissionRecord.objects.filter(</w:t>
      </w:r>
    </w:p>
    <w:p w14:paraId="4206C99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year__gte=start_year, year__lte=end_year)</w:t>
      </w:r>
    </w:p>
    <w:p w14:paraId="37B5417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source_id:</w:t>
      </w:r>
    </w:p>
    <w:p w14:paraId="6533FE4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data.filter(source_id=int(source_id))</w:t>
      </w:r>
    </w:p>
    <w:p w14:paraId="0B96C18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region_id:</w:t>
      </w:r>
    </w:p>
    <w:p w14:paraId="4295B66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data.filter(region_id=int(region_id))</w:t>
      </w:r>
    </w:p>
    <w:p w14:paraId="020B39F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00B99E4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granularity == 'quarter':</w:t>
      </w:r>
    </w:p>
    <w:p w14:paraId="34BAF98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 = data.values('year','quarter').annotate(</w:t>
      </w:r>
    </w:p>
    <w:p w14:paraId="6CF4F4C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total=Sum('emission_amount')).order_by('year','quarter')</w:t>
      </w:r>
    </w:p>
    <w:p w14:paraId="4A7CE4D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labels = [f"{r['year']}Q{r['quarter']}" for r in result]</w:t>
      </w:r>
    </w:p>
    <w:p w14:paraId="66205E0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else:</w:t>
      </w:r>
    </w:p>
    <w:p w14:paraId="7CD697C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 = data.values('year').annotate(</w:t>
      </w:r>
    </w:p>
    <w:p w14:paraId="39A6194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total=Sum('emission_amount')).order_by('year')</w:t>
      </w:r>
    </w:p>
    <w:p w14:paraId="25AADD8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labels = [str(r['year']) for r in result]</w:t>
      </w:r>
    </w:p>
    <w:p w14:paraId="28A3BE6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values = [round(r['total'], 2) for r in result]</w:t>
      </w:r>
    </w:p>
    <w:p w14:paraId="4D50F32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JsonResponse({'code':0, 'data':{'labels':labels, 'values':values}})</w:t>
      </w:r>
    </w:p>
    <w:p w14:paraId="6189C749">
      <w:pPr>
        <w:pStyle w:val="168"/>
        <w:bidi w:val="0"/>
      </w:pPr>
      <w:r>
        <w:drawing>
          <wp:inline distT="0" distB="0" distL="114300" distR="114300">
            <wp:extent cx="5386070" cy="2527935"/>
            <wp:effectExtent l="0" t="0" r="889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8"/>
                    <a:stretch>
                      <a:fillRect/>
                    </a:stretch>
                  </pic:blipFill>
                  <pic:spPr>
                    <a:xfrm>
                      <a:off x="0" y="0"/>
                      <a:ext cx="5386070" cy="2527935"/>
                    </a:xfrm>
                    <a:prstGeom prst="rect">
                      <a:avLst/>
                    </a:prstGeom>
                    <a:noFill/>
                    <a:ln>
                      <a:noFill/>
                    </a:ln>
                  </pic:spPr>
                </pic:pic>
              </a:graphicData>
            </a:graphic>
          </wp:inline>
        </w:drawing>
      </w:r>
    </w:p>
    <w:p w14:paraId="47A10201">
      <w:pPr>
        <w:spacing w:line="400" w:lineRule="exact"/>
        <w:ind w:firstLine="0" w:firstLineChars="0"/>
        <w:jc w:val="center"/>
        <w:rPr>
          <w:color w:val="auto"/>
        </w:rPr>
      </w:pPr>
      <w:r>
        <w:rPr>
          <w:rFonts w:ascii="Times New Roman" w:hAnsi="Times New Roman" w:eastAsia="KaiTi"/>
          <w:b w:val="0"/>
          <w:color w:val="auto"/>
          <w:sz w:val="21"/>
        </w:rPr>
        <w:t>图5-3 排放趋势分析展示效果</w:t>
      </w:r>
    </w:p>
    <w:p w14:paraId="3D536277">
      <w:pPr>
        <w:spacing w:line="400" w:lineRule="exact"/>
        <w:ind w:firstLine="480" w:firstLineChars="200"/>
        <w:jc w:val="both"/>
        <w:rPr>
          <w:color w:val="auto"/>
        </w:rPr>
      </w:pPr>
      <w:r>
        <w:rPr>
          <w:rFonts w:ascii="Times New Roman" w:hAnsi="Times New Roman" w:eastAsia="SimSun"/>
          <w:b w:val="0"/>
          <w:color w:val="auto"/>
          <w:sz w:val="24"/>
        </w:rPr>
        <w:t>趋势图支持年度和季度两种时间粒度的切换，当选择季度粒度时，图表X轴标签自动切换为"年份Q季度"格式（如2023Q1），帮助用户观察碳排放的季节性波动特征。同时，图表支持按排放源分组显示多条趋势线，便于比较不同排放源的变化差异。</w:t>
      </w:r>
    </w:p>
    <w:p w14:paraId="125CB10A">
      <w:pPr>
        <w:pStyle w:val="5"/>
        <w:keepNext/>
        <w:keepLines/>
        <w:spacing w:before="156" w:beforeLines="50" w:after="156" w:afterLines="50" w:line="400" w:lineRule="exact"/>
        <w:ind w:firstLine="0" w:firstLineChars="0"/>
        <w:jc w:val="left"/>
        <w:rPr>
          <w:color w:val="auto"/>
        </w:rPr>
      </w:pPr>
      <w:bookmarkStart w:id="40" w:name="_Toc21604"/>
      <w:r>
        <w:rPr>
          <w:rFonts w:ascii="Times New Roman" w:hAnsi="Times New Roman" w:eastAsia="SimSun"/>
          <w:b/>
          <w:color w:val="auto"/>
          <w:sz w:val="24"/>
        </w:rPr>
        <w:t>5.3.3 排放结构分析模块</w:t>
      </w:r>
      <w:bookmarkEnd w:id="40"/>
    </w:p>
    <w:p w14:paraId="365C2386">
      <w:pPr>
        <w:spacing w:line="400" w:lineRule="exact"/>
        <w:ind w:firstLine="480" w:firstLineChars="200"/>
        <w:jc w:val="both"/>
        <w:rPr>
          <w:color w:val="auto"/>
        </w:rPr>
      </w:pPr>
      <w:r>
        <w:rPr>
          <w:rFonts w:ascii="Times New Roman" w:hAnsi="Times New Roman" w:eastAsia="SimSun"/>
          <w:b w:val="0"/>
          <w:color w:val="auto"/>
          <w:sz w:val="24"/>
        </w:rPr>
        <w:t>排放结构分析模块支持按排放源、行业、地区三个维度查看碳排放的构成比例。用户可选择分析年份和分析维度，系统自动计算各类别的排放量和占比，以饼图和柱状图的形式进行展示。核心实现代码如下：</w:t>
      </w:r>
    </w:p>
    <w:p w14:paraId="0A4D486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7C3FE22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api_structure_data(request):</w:t>
      </w:r>
    </w:p>
    <w:p w14:paraId="08378E4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"""排放结构数据API"""</w:t>
      </w:r>
    </w:p>
    <w:p w14:paraId="2EB74D9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 = int(request.GET.get('year', 2025))</w:t>
      </w:r>
    </w:p>
    <w:p w14:paraId="3CD2CD7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dimension = request.GET.get('dimension', 'source')</w:t>
      </w:r>
    </w:p>
    <w:p w14:paraId="4C2468F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22A478D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EmissionRecord.objects.filter(year=year)</w:t>
      </w:r>
    </w:p>
    <w:p w14:paraId="64F29B2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dimension == 'source':</w:t>
      </w:r>
    </w:p>
    <w:p w14:paraId="6DFAB5D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 = data.values('source__name').annotate(</w:t>
      </w:r>
    </w:p>
    <w:p w14:paraId="521E608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total=Sum('emission_amount')).order_by('-total')</w:t>
      </w:r>
    </w:p>
    <w:p w14:paraId="21D4C8A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names = [r['source__name'] for r in result]</w:t>
      </w:r>
    </w:p>
    <w:p w14:paraId="20EB980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elif dimension == 'industry':</w:t>
      </w:r>
    </w:p>
    <w:p w14:paraId="1F9A031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 = data.values('industry__name').annotate(</w:t>
      </w:r>
    </w:p>
    <w:p w14:paraId="189AF02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total=Sum('emission_amount')).order_by('-total')[:15]</w:t>
      </w:r>
    </w:p>
    <w:p w14:paraId="06EC25E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names = [r['industry__name'] for r in result]</w:t>
      </w:r>
    </w:p>
    <w:p w14:paraId="63F5B69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else:</w:t>
      </w:r>
    </w:p>
    <w:p w14:paraId="0DA18F4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 = data.values('region__name').annotate(</w:t>
      </w:r>
    </w:p>
    <w:p w14:paraId="4A32173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total=Sum('emission_amount')).order_by('-total')</w:t>
      </w:r>
    </w:p>
    <w:p w14:paraId="071871D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names = [r['region__name'] for r in result]</w:t>
      </w:r>
    </w:p>
    <w:p w14:paraId="727BA1C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75238C2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values = [round(r['total'], 2) for r in result]</w:t>
      </w:r>
    </w:p>
    <w:p w14:paraId="64D5DB9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 = sum(values)</w:t>
      </w:r>
    </w:p>
    <w:p w14:paraId="039DE3F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percentages = [round(v/total*100, 1) for v in values]</w:t>
      </w:r>
    </w:p>
    <w:p w14:paraId="6A3C751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JsonResponse({'code':0, 'data':{</w:t>
      </w:r>
    </w:p>
    <w:p w14:paraId="2787062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'names':names, 'values':values, 'percentages':percentages}})</w:t>
      </w:r>
    </w:p>
    <w:p w14:paraId="4F2FA13E">
      <w:pPr>
        <w:pStyle w:val="168"/>
        <w:bidi w:val="0"/>
      </w:pPr>
      <w:r>
        <w:rPr/>
        <w:drawing>
          <wp:inline distT="0" distB="0" distL="114300" distR="114300">
            <wp:extent cx="5386070" cy="2527935"/>
            <wp:effectExtent l="0" t="0" r="8890" b="190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9"/>
                    <a:stretch>
                      <a:fillRect/>
                    </a:stretch>
                  </pic:blipFill>
                  <pic:spPr>
                    <a:xfrm>
                      <a:off x="0" y="0"/>
                      <a:ext cx="5386070" cy="2527935"/>
                    </a:xfrm>
                    <a:prstGeom prst="rect">
                      <a:avLst/>
                    </a:prstGeom>
                    <a:noFill/>
                    <a:ln>
                      <a:noFill/>
                    </a:ln>
                  </pic:spPr>
                </pic:pic>
              </a:graphicData>
            </a:graphic>
          </wp:inline>
        </w:drawing>
      </w:r>
    </w:p>
    <w:p w14:paraId="11B719AE">
      <w:pPr>
        <w:spacing w:line="400" w:lineRule="exact"/>
        <w:ind w:firstLine="0" w:firstLineChars="0"/>
        <w:jc w:val="center"/>
        <w:rPr>
          <w:color w:val="auto"/>
        </w:rPr>
      </w:pPr>
      <w:r>
        <w:rPr>
          <w:rFonts w:ascii="Times New Roman" w:hAnsi="Times New Roman" w:eastAsia="KaiTi"/>
          <w:b w:val="0"/>
          <w:color w:val="auto"/>
          <w:sz w:val="21"/>
        </w:rPr>
        <w:t>图5-4 排放结构分析展示效果</w:t>
      </w:r>
    </w:p>
    <w:p w14:paraId="259D0270">
      <w:pPr>
        <w:spacing w:line="400" w:lineRule="exact"/>
        <w:ind w:firstLine="480" w:firstLineChars="200"/>
        <w:jc w:val="both"/>
        <w:rPr>
          <w:color w:val="auto"/>
        </w:rPr>
      </w:pPr>
      <w:r>
        <w:rPr>
          <w:rFonts w:ascii="Times New Roman" w:hAnsi="Times New Roman" w:eastAsia="SimSun"/>
          <w:b w:val="0"/>
          <w:color w:val="auto"/>
          <w:sz w:val="24"/>
        </w:rPr>
        <w:t>结构分析页面同时展示环形饼图和排名柱状图，饼图直观展示各类别的占比关系，柱状图则通过排序突出排放量的高低差异。维度切换通过前端按钮组实现，点击后重新请求对应维度的数据并刷新图表，交互响应迅速流畅。在饼图的交互设计上，鼠标悬停在某个扇形区域时，该区域会自动突出显示并弹出包含类别名称、排放量和占比百分比的提示框，帮助用户精确获取各类别的详细数据。柱状图的柱体颜色按排放量大小进行渐变设置，排放量越高颜色越深，形成直观的视觉引导效果。</w:t>
      </w:r>
    </w:p>
    <w:p w14:paraId="37804B9D">
      <w:pPr>
        <w:pStyle w:val="5"/>
        <w:keepNext/>
        <w:keepLines/>
        <w:spacing w:before="156" w:beforeLines="50" w:after="156" w:afterLines="50" w:line="400" w:lineRule="exact"/>
        <w:ind w:firstLine="0" w:firstLineChars="0"/>
        <w:jc w:val="left"/>
        <w:rPr>
          <w:color w:val="auto"/>
        </w:rPr>
      </w:pPr>
      <w:bookmarkStart w:id="41" w:name="_Toc2735"/>
      <w:r>
        <w:rPr>
          <w:rFonts w:ascii="Times New Roman" w:hAnsi="Times New Roman" w:eastAsia="SimSun"/>
          <w:b/>
          <w:color w:val="auto"/>
          <w:sz w:val="24"/>
        </w:rPr>
        <w:t>5.3.4 影响因素分析模块</w:t>
      </w:r>
      <w:bookmarkEnd w:id="41"/>
    </w:p>
    <w:p w14:paraId="01617EE4">
      <w:pPr>
        <w:spacing w:line="400" w:lineRule="exact"/>
        <w:ind w:firstLine="480" w:firstLineChars="200"/>
        <w:jc w:val="both"/>
        <w:rPr>
          <w:color w:val="auto"/>
        </w:rPr>
      </w:pPr>
      <w:r>
        <w:rPr>
          <w:rFonts w:ascii="Times New Roman" w:hAnsi="Times New Roman" w:eastAsia="SimSun"/>
          <w:b w:val="0"/>
          <w:color w:val="auto"/>
          <w:sz w:val="24"/>
        </w:rPr>
        <w:t>影响因素分析模块支持碳排放与GDP、人口、能源消耗、能源效率等经济社会指标的关联分析。页面展示排放量与各因素的时间序列对比图和相关系数矩阵，帮助用户识别碳排放的关键驱动因素。</w:t>
      </w:r>
    </w:p>
    <w:p w14:paraId="19C03A2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703A0C8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api_correlation(request):</w:t>
      </w:r>
    </w:p>
    <w:p w14:paraId="5E4029E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"""相关性分析API"""</w:t>
      </w:r>
    </w:p>
    <w:p w14:paraId="6CAFF86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region_id = request.GET.get('region')</w:t>
      </w:r>
    </w:p>
    <w:p w14:paraId="6AD0266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EmissionRecord.objects.all()</w:t>
      </w:r>
    </w:p>
    <w:p w14:paraId="2826E68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region_id:</w:t>
      </w:r>
    </w:p>
    <w:p w14:paraId="47487E2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data.filter(region_id=int(region_id))</w:t>
      </w:r>
    </w:p>
    <w:p w14:paraId="73FE6B8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402399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yearly = data.values('year').annotate(</w:t>
      </w:r>
    </w:p>
    <w:p w14:paraId="12BCFB8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emission=Sum('emission_amount'),</w:t>
      </w:r>
    </w:p>
    <w:p w14:paraId="13467DC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gdp=Sum('gdp'),</w:t>
      </w:r>
    </w:p>
    <w:p w14:paraId="4CC5212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population=Sum('population'),</w:t>
      </w:r>
    </w:p>
    <w:p w14:paraId="0206519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efficiency=Avg('energy_efficiency'),</w:t>
      </w:r>
    </w:p>
    <w:p w14:paraId="5FAD897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).order_by('year')</w:t>
      </w:r>
    </w:p>
    <w:p w14:paraId="3521C50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yearly_list = list(yearly)</w:t>
      </w:r>
    </w:p>
    <w:p w14:paraId="15D3D0C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2F50CAF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emissions = np.array([r['emission'] for r in yearly_list])</w:t>
      </w:r>
    </w:p>
    <w:p w14:paraId="2DA556A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gdp = np.array([r['gdp'] for r in yearly_list])</w:t>
      </w:r>
    </w:p>
    <w:p w14:paraId="39ED0DA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population = np.array([r['population'] for r in yearly_list])</w:t>
      </w:r>
    </w:p>
    <w:p w14:paraId="3C32D8A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63D6074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correlations = {</w:t>
      </w:r>
    </w:p>
    <w:p w14:paraId="25CC402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'GDP': round(float(np.corrcoef(emissions, gdp)[0,1]), 4),</w:t>
      </w:r>
    </w:p>
    <w:p w14:paraId="2EBBC85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'人口': round(float(np.corrcoef(emissions, population)[0,1]), 4),</w:t>
      </w:r>
    </w:p>
    <w:p w14:paraId="2850ACE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5E6487C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JsonResponse({'code':0, 'data':{'correlations':correlations}})</w:t>
      </w:r>
    </w:p>
    <w:p w14:paraId="722F82E0">
      <w:pPr>
        <w:pStyle w:val="168"/>
        <w:bidi w:val="0"/>
      </w:pPr>
      <w:r>
        <w:drawing>
          <wp:inline distT="0" distB="0" distL="114300" distR="114300">
            <wp:extent cx="5386070" cy="2527935"/>
            <wp:effectExtent l="0" t="0" r="8890" b="190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30"/>
                    <a:stretch>
                      <a:fillRect/>
                    </a:stretch>
                  </pic:blipFill>
                  <pic:spPr>
                    <a:xfrm>
                      <a:off x="0" y="0"/>
                      <a:ext cx="5386070" cy="2527935"/>
                    </a:xfrm>
                    <a:prstGeom prst="rect">
                      <a:avLst/>
                    </a:prstGeom>
                    <a:noFill/>
                    <a:ln>
                      <a:noFill/>
                    </a:ln>
                  </pic:spPr>
                </pic:pic>
              </a:graphicData>
            </a:graphic>
          </wp:inline>
        </w:drawing>
      </w:r>
    </w:p>
    <w:p w14:paraId="7ECC96ED">
      <w:pPr>
        <w:spacing w:line="400" w:lineRule="exact"/>
        <w:ind w:firstLine="0" w:firstLineChars="0"/>
        <w:jc w:val="center"/>
        <w:rPr>
          <w:color w:val="auto"/>
        </w:rPr>
      </w:pPr>
      <w:r>
        <w:rPr>
          <w:rFonts w:ascii="Times New Roman" w:hAnsi="Times New Roman" w:eastAsia="KaiTi"/>
          <w:b w:val="0"/>
          <w:color w:val="auto"/>
          <w:sz w:val="21"/>
        </w:rPr>
        <w:t>图5-5 影响因素分析展示效果</w:t>
      </w:r>
    </w:p>
    <w:p w14:paraId="1A371434">
      <w:pPr>
        <w:spacing w:line="400" w:lineRule="exact"/>
        <w:ind w:firstLine="480" w:firstLineChars="200"/>
        <w:jc w:val="both"/>
        <w:rPr>
          <w:color w:val="auto"/>
        </w:rPr>
      </w:pPr>
      <w:r>
        <w:rPr>
          <w:rFonts w:ascii="Times New Roman" w:hAnsi="Times New Roman" w:eastAsia="SimSun"/>
          <w:b w:val="0"/>
          <w:color w:val="auto"/>
          <w:sz w:val="24"/>
        </w:rPr>
        <w:t>因素分析页面支持按地区筛选，可查看特定省份的排放因素关联情况。双轴折线图将碳排放量和各因素指标在同一时间轴上对比展示，相关系数以数值和进度条的形式直观呈现，便于用户快速判断各因素与碳排放的相关强度和方向。页面设计上采用了上下分栏布局，上部展示散点图和线性拟合线，用户可通过下拉框切换分析因素（GDP、人口、能源消耗等）；下部展示相关系数矩阵热力图，以色彩深浅变化直观反映各指标之间的相关性强弱。这种多视角、多层次的因素分析展示方式，能够帮助用户全面理解碳排放的驱动机制，为制定精准的减排策略提供数据支撑。</w:t>
      </w:r>
    </w:p>
    <w:p w14:paraId="0E08AC5A">
      <w:pPr>
        <w:pStyle w:val="5"/>
        <w:keepNext/>
        <w:keepLines/>
        <w:spacing w:before="156" w:beforeLines="50" w:after="156" w:afterLines="50" w:line="400" w:lineRule="exact"/>
        <w:ind w:firstLine="0" w:firstLineChars="0"/>
        <w:jc w:val="left"/>
        <w:rPr>
          <w:color w:val="auto"/>
        </w:rPr>
      </w:pPr>
      <w:bookmarkStart w:id="42" w:name="_Toc14904"/>
      <w:r>
        <w:rPr>
          <w:rFonts w:ascii="Times New Roman" w:hAnsi="Times New Roman" w:eastAsia="SimSun"/>
          <w:b/>
          <w:color w:val="auto"/>
          <w:sz w:val="24"/>
        </w:rPr>
        <w:t>5.3.5 智能预测模块</w:t>
      </w:r>
      <w:bookmarkEnd w:id="42"/>
    </w:p>
    <w:p w14:paraId="74BEE89C">
      <w:pPr>
        <w:spacing w:line="400" w:lineRule="exact"/>
        <w:ind w:firstLine="480" w:firstLineChars="200"/>
        <w:jc w:val="both"/>
        <w:rPr>
          <w:color w:val="auto"/>
        </w:rPr>
      </w:pPr>
      <w:r>
        <w:rPr>
          <w:rFonts w:ascii="Times New Roman" w:hAnsi="Times New Roman" w:eastAsia="SimSun"/>
          <w:b w:val="0"/>
          <w:color w:val="auto"/>
          <w:sz w:val="24"/>
        </w:rPr>
        <w:t>智能预测模块是本平台的核心功能之一，用户可选择预测模型（LSTM、CNN、CNN-LSTM混合）、预测地区、排放源和预测年数，系统基于历史数据生成预测结果并展示预测曲线和模型评估指标。预测页面采用左右分栏布局，左侧为参数配置区域，用户可通过下拉选择器和滑动条设置预测参数；右侧为结果展示区域，包含预测趋势图、模型评估指标卡片和预测详细数据表格。当用户点击“开始预测”按钮后，前端通过POST请求将参数发送至后端预测接口，后端执行预测计算后返回结果，前端动态渲染预测图表和评估指标。</w:t>
      </w:r>
    </w:p>
    <w:p w14:paraId="4D97A58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424AEA5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api_predict(request):</w:t>
      </w:r>
    </w:p>
    <w:p w14:paraId="31C0E08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"""执行预测API"""</w:t>
      </w:r>
    </w:p>
    <w:p w14:paraId="438F3FA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body = json.loads(request.body)</w:t>
      </w:r>
    </w:p>
    <w:p w14:paraId="1706888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region_id = body.get('region')</w:t>
      </w:r>
    </w:p>
    <w:p w14:paraId="6E121F1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model_type = body.get('model_type', 'cnn_lstm')</w:t>
      </w:r>
    </w:p>
    <w:p w14:paraId="55794E4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predict_years = int(body.get('predict_years', 3))</w:t>
      </w:r>
    </w:p>
    <w:p w14:paraId="6B41F93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6CAC9F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EmissionRecord.objects.all()</w:t>
      </w:r>
    </w:p>
    <w:p w14:paraId="65AD5F6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region_id:</w:t>
      </w:r>
    </w:p>
    <w:p w14:paraId="577C997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data = data.filter(region_id=int(region_id))</w:t>
      </w:r>
    </w:p>
    <w:p w14:paraId="373908D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7C8AC39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yearly = data.values('year').annotate(</w:t>
      </w:r>
    </w:p>
    <w:p w14:paraId="154763D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total=Sum('emission_amount')).order_by('year')</w:t>
      </w:r>
    </w:p>
    <w:p w14:paraId="5EA70E5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history_values = [float(r['total']) for r in yearly]</w:t>
      </w:r>
    </w:p>
    <w:p w14:paraId="051099E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history_years = [r['year'] for r in yearly]</w:t>
      </w:r>
    </w:p>
    <w:p w14:paraId="53D2E4B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2EF4676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predictions = _statistical_predict(</w:t>
      </w:r>
    </w:p>
    <w:p w14:paraId="7A73823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history_values, predict_years, model_type)</w:t>
      </w:r>
    </w:p>
    <w:p w14:paraId="1A282E5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last_year = max(history_years)</w:t>
      </w:r>
    </w:p>
    <w:p w14:paraId="2B48B47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future_years = list(range(last_year+1, last_year+predict_years+1))</w:t>
      </w:r>
    </w:p>
    <w:p w14:paraId="2D72680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3B559F4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results = []</w:t>
      </w:r>
    </w:p>
    <w:p w14:paraId="469D112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for i, (year, pred) in enumerate(zip(future_years, predictions)):</w:t>
      </w:r>
    </w:p>
    <w:p w14:paraId="45512B1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 = PredictionResult.objects.create(</w:t>
      </w:r>
    </w:p>
    <w:p w14:paraId="19A0293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target_year=year, target_quarter=0,</w:t>
      </w:r>
    </w:p>
    <w:p w14:paraId="2DECC81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predicted_amount=round(pred, 2),</w:t>
      </w:r>
    </w:p>
    <w:p w14:paraId="178D625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model_type=model_type,</w:t>
      </w:r>
    </w:p>
    <w:p w14:paraId="12570F3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confidence=round(0.95 - i*0.02, 2),</w:t>
      </w:r>
    </w:p>
    <w:p w14:paraId="653E1A9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created_by=request.user)</w:t>
      </w:r>
    </w:p>
    <w:p w14:paraId="12C9559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results.append({'year':year, 'predicted':round(pred,2)})</w:t>
      </w:r>
    </w:p>
    <w:p w14:paraId="7CE5986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JsonResponse({'code':0, 'data':{</w:t>
      </w:r>
    </w:p>
    <w:p w14:paraId="59E655F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'history':{'years':history_years, 'values':history_values},</w:t>
      </w:r>
    </w:p>
    <w:p w14:paraId="28EF067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'predictions':results}})</w:t>
      </w:r>
    </w:p>
    <w:p w14:paraId="3F250C93">
      <w:pPr>
        <w:pStyle w:val="168"/>
        <w:bidi w:val="0"/>
      </w:pPr>
      <w:r>
        <w:rPr/>
        <w:drawing>
          <wp:inline distT="0" distB="0" distL="114300" distR="114300">
            <wp:extent cx="5386070" cy="2527935"/>
            <wp:effectExtent l="0" t="0" r="8890" b="190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31"/>
                    <a:stretch>
                      <a:fillRect/>
                    </a:stretch>
                  </pic:blipFill>
                  <pic:spPr>
                    <a:xfrm>
                      <a:off x="0" y="0"/>
                      <a:ext cx="5386070" cy="2527935"/>
                    </a:xfrm>
                    <a:prstGeom prst="rect">
                      <a:avLst/>
                    </a:prstGeom>
                    <a:noFill/>
                    <a:ln>
                      <a:noFill/>
                    </a:ln>
                  </pic:spPr>
                </pic:pic>
              </a:graphicData>
            </a:graphic>
          </wp:inline>
        </w:drawing>
      </w:r>
    </w:p>
    <w:p w14:paraId="359DAA80">
      <w:pPr>
        <w:spacing w:line="400" w:lineRule="exact"/>
        <w:ind w:firstLine="0" w:firstLineChars="0"/>
        <w:jc w:val="center"/>
        <w:rPr>
          <w:color w:val="auto"/>
        </w:rPr>
      </w:pPr>
      <w:r>
        <w:rPr>
          <w:rFonts w:ascii="Times New Roman" w:hAnsi="Times New Roman" w:eastAsia="KaiTi"/>
          <w:b w:val="0"/>
          <w:color w:val="auto"/>
          <w:sz w:val="21"/>
        </w:rPr>
        <w:t>图5-6 智能预测展示效果</w:t>
      </w:r>
    </w:p>
    <w:p w14:paraId="05C46DD4">
      <w:pPr>
        <w:spacing w:line="400" w:lineRule="exact"/>
        <w:ind w:firstLine="480" w:firstLineChars="200"/>
        <w:jc w:val="both"/>
        <w:rPr>
          <w:color w:val="auto"/>
        </w:rPr>
      </w:pPr>
      <w:r>
        <w:rPr>
          <w:rFonts w:ascii="Times New Roman" w:hAnsi="Times New Roman" w:eastAsia="SimSun"/>
          <w:b w:val="0"/>
          <w:color w:val="auto"/>
          <w:sz w:val="24"/>
        </w:rPr>
        <w:t>预测结果页面以折线图形式展示历史数据与预测数据的衔接，历史段使用实线、预测段使用虚线并添加置信区间阴影，使用户能够清晰区分已知数据和预测数据。页面下方展示MAE、RMSE、R²三项模型评估指标和预测详情表格，支持用户对不同模型的预测结果进行客观比较。用户可通过切换地区和排放源筛选条件，分别对不同区域和排放源的碳排放趋势进行预测分析。预测历史页面以时间线形式展示用户的所有历史预测记录，包括预测参数、预测结果和模型评估指标，方便用户进行预测方案的回溯和对比。系统还支持将预测结果以表格形式导出，为用户撰写碳排放分析报告提供数据素材。</w:t>
      </w:r>
    </w:p>
    <w:p w14:paraId="03C86106">
      <w:pPr>
        <w:pStyle w:val="5"/>
        <w:keepNext/>
        <w:keepLines/>
        <w:spacing w:before="156" w:beforeLines="50" w:after="156" w:afterLines="50" w:line="400" w:lineRule="exact"/>
        <w:ind w:firstLine="0" w:firstLineChars="0"/>
        <w:jc w:val="left"/>
        <w:rPr>
          <w:color w:val="auto"/>
        </w:rPr>
      </w:pPr>
      <w:bookmarkStart w:id="43" w:name="_Toc4940"/>
      <w:r>
        <w:rPr>
          <w:rFonts w:ascii="Times New Roman" w:hAnsi="Times New Roman" w:eastAsia="SimSun"/>
          <w:b/>
          <w:color w:val="auto"/>
          <w:sz w:val="24"/>
        </w:rPr>
        <w:t>5.3.6 预警中心模块</w:t>
      </w:r>
      <w:bookmarkEnd w:id="43"/>
    </w:p>
    <w:p w14:paraId="6FC6C75D">
      <w:pPr>
        <w:spacing w:line="400" w:lineRule="exact"/>
        <w:ind w:firstLine="480" w:firstLineChars="200"/>
        <w:jc w:val="both"/>
        <w:rPr>
          <w:color w:val="auto"/>
        </w:rPr>
      </w:pPr>
      <w:r>
        <w:rPr>
          <w:rFonts w:ascii="Times New Roman" w:hAnsi="Times New Roman" w:eastAsia="SimSun"/>
          <w:b w:val="0"/>
          <w:color w:val="auto"/>
          <w:sz w:val="24"/>
        </w:rPr>
        <w:t>预警中心模块展示系统自动生成的碳排放预警信息，支持按预警级别（黄色、橙色、红色）和处理状态（未读、已处理）进行筛选。预警列表以时间倒序排列，使用不同颜色标签区分预警级别，帮助用户快速识别需要关注的异常排放事件。</w:t>
      </w:r>
    </w:p>
    <w:p w14:paraId="654E25A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@login_required</w:t>
      </w:r>
    </w:p>
    <w:p w14:paraId="52C816B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def alert_list(request):</w:t>
      </w:r>
    </w:p>
    <w:p w14:paraId="2BC64D7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"""预警中心"""</w:t>
      </w:r>
    </w:p>
    <w:p w14:paraId="6B58101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alerts = AlertRecord.objects.select_related(</w:t>
      </w:r>
    </w:p>
    <w:p w14:paraId="3B7E5C2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'emission_record__region',</w:t>
      </w:r>
    </w:p>
    <w:p w14:paraId="6140D12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'emission_record__industry',</w:t>
      </w:r>
    </w:p>
    <w:p w14:paraId="31F28BD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'emission_record__source',</w:t>
      </w:r>
    </w:p>
    <w:p w14:paraId="7D2C1FE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'threshold'</w:t>
      </w:r>
    </w:p>
    <w:p w14:paraId="46E302D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).all()</w:t>
      </w:r>
    </w:p>
    <w:p w14:paraId="730E9C1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0273DBC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level = request.GET.get('level', '')</w:t>
      </w:r>
    </w:p>
    <w:p w14:paraId="4D6E357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level:</w:t>
      </w:r>
    </w:p>
    <w:p w14:paraId="278F0CF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alerts = alerts.filter(alert_level=level)</w:t>
      </w:r>
    </w:p>
    <w:p w14:paraId="31BA0BA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status = request.GET.get('status', '')</w:t>
      </w:r>
    </w:p>
    <w:p w14:paraId="0C20616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if status == 'unread':</w:t>
      </w:r>
    </w:p>
    <w:p w14:paraId="55C38EA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alerts = alerts.filter(is_read=False)</w:t>
      </w:r>
    </w:p>
    <w:p w14:paraId="7FC3DDC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elif status == 'resolved':</w:t>
      </w:r>
    </w:p>
    <w:p w14:paraId="656DCB1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alerts = alerts.filter(is_resolved=True)</w:t>
      </w:r>
    </w:p>
    <w:p w14:paraId="7CA364A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47593AE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paginator = Paginator(alerts, 15)</w:t>
      </w:r>
    </w:p>
    <w:p w14:paraId="6552514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page = request.GET.get('page', 1)</w:t>
      </w:r>
    </w:p>
    <w:p w14:paraId="687797C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alerts = paginator.get_page(page)</w:t>
      </w:r>
    </w:p>
    <w:p w14:paraId="51C4E35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527ACC8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context = {</w:t>
      </w:r>
    </w:p>
    <w:p w14:paraId="07F3F3B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'alerts': alerts,</w:t>
      </w:r>
    </w:p>
    <w:p w14:paraId="4F21E82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'unread_count': AlertRecord.objects.filter(</w:t>
      </w:r>
    </w:p>
    <w:p w14:paraId="4561B38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is_read=False).count(),</w:t>
      </w:r>
    </w:p>
    <w:p w14:paraId="253BF3A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57B7E27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return render(request, 'front/alert_list.html', context)</w:t>
      </w:r>
    </w:p>
    <w:p w14:paraId="3A866F39">
      <w:pPr>
        <w:pStyle w:val="168"/>
        <w:bidi w:val="0"/>
      </w:pPr>
      <w:r>
        <w:rPr/>
        <w:drawing>
          <wp:inline distT="0" distB="0" distL="114300" distR="114300">
            <wp:extent cx="5386070" cy="2527935"/>
            <wp:effectExtent l="0" t="0" r="8890" b="190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32"/>
                    <a:stretch>
                      <a:fillRect/>
                    </a:stretch>
                  </pic:blipFill>
                  <pic:spPr>
                    <a:xfrm>
                      <a:off x="0" y="0"/>
                      <a:ext cx="5386070" cy="2527935"/>
                    </a:xfrm>
                    <a:prstGeom prst="rect">
                      <a:avLst/>
                    </a:prstGeom>
                    <a:noFill/>
                    <a:ln>
                      <a:noFill/>
                    </a:ln>
                  </pic:spPr>
                </pic:pic>
              </a:graphicData>
            </a:graphic>
          </wp:inline>
        </w:drawing>
      </w:r>
    </w:p>
    <w:p w14:paraId="70AB7827">
      <w:pPr>
        <w:spacing w:line="400" w:lineRule="exact"/>
        <w:ind w:firstLine="0" w:firstLineChars="0"/>
        <w:jc w:val="center"/>
        <w:rPr>
          <w:color w:val="auto"/>
        </w:rPr>
      </w:pPr>
      <w:r>
        <w:rPr>
          <w:rFonts w:ascii="Times New Roman" w:hAnsi="Times New Roman" w:eastAsia="KaiTi"/>
          <w:b w:val="0"/>
          <w:color w:val="auto"/>
          <w:sz w:val="21"/>
        </w:rPr>
        <w:t>图5-7 预警中心展示效果</w:t>
      </w:r>
    </w:p>
    <w:p w14:paraId="11621C1F">
      <w:pPr>
        <w:spacing w:line="400" w:lineRule="exact"/>
        <w:ind w:firstLine="480" w:firstLineChars="200"/>
        <w:jc w:val="both"/>
        <w:rPr>
          <w:color w:val="auto"/>
        </w:rPr>
      </w:pPr>
      <w:r>
        <w:rPr>
          <w:rFonts w:ascii="Times New Roman" w:hAnsi="Times New Roman" w:eastAsia="SimSun"/>
          <w:b w:val="0"/>
          <w:color w:val="auto"/>
          <w:sz w:val="24"/>
        </w:rPr>
        <w:t>预警列表每页展示15条记录并提供分页导航，每条预警信息包含预警级别标签、预警描述、排放值与阈值的对比、触发时间等关键信息。用户可点击"标记已读"按钮将预警状态更新为已处理，系统头部导航栏实时显示未读预警数量徽章，确保重要预警不会被遗漏。</w:t>
      </w:r>
    </w:p>
    <w:p w14:paraId="4F825B29">
      <w:pPr>
        <w:pStyle w:val="5"/>
        <w:keepNext/>
        <w:keepLines/>
        <w:spacing w:before="156" w:beforeLines="50" w:after="156" w:afterLines="50" w:line="400" w:lineRule="exact"/>
        <w:ind w:firstLine="0" w:firstLineChars="0"/>
        <w:jc w:val="left"/>
        <w:rPr>
          <w:color w:val="auto"/>
        </w:rPr>
      </w:pPr>
      <w:bookmarkStart w:id="44" w:name="_Toc29748"/>
      <w:r>
        <w:rPr>
          <w:rFonts w:ascii="Times New Roman" w:hAnsi="Times New Roman" w:eastAsia="SimSun"/>
          <w:b/>
          <w:color w:val="auto"/>
          <w:sz w:val="24"/>
        </w:rPr>
        <w:t>5.3.7 管理后台模块</w:t>
      </w:r>
      <w:bookmarkEnd w:id="44"/>
    </w:p>
    <w:p w14:paraId="08DC8269">
      <w:pPr>
        <w:spacing w:line="400" w:lineRule="exact"/>
        <w:ind w:firstLine="480" w:firstLineChars="200"/>
        <w:jc w:val="both"/>
        <w:rPr>
          <w:color w:val="auto"/>
        </w:rPr>
      </w:pPr>
      <w:r>
        <w:rPr>
          <w:rFonts w:ascii="Times New Roman" w:hAnsi="Times New Roman" w:eastAsia="SimSun"/>
          <w:b w:val="0"/>
          <w:color w:val="auto"/>
          <w:sz w:val="24"/>
        </w:rPr>
        <w:t>管理后台是面向管理员用户的系统配置和数据维护界面，采用独立的页面布局和导航体系，与前台用户界面形成功能分离。管理后台提供了用户管理、数据管理、排放源配置、阈值配置、模型管理和操作日志六大管理功能。</w:t>
      </w:r>
    </w:p>
    <w:p w14:paraId="0FE9FCED">
      <w:pPr>
        <w:spacing w:line="400" w:lineRule="exact"/>
        <w:ind w:firstLine="480" w:firstLineChars="200"/>
        <w:jc w:val="both"/>
        <w:rPr>
          <w:color w:val="auto"/>
        </w:rPr>
      </w:pPr>
      <w:r>
        <w:rPr>
          <w:rFonts w:ascii="Times New Roman" w:hAnsi="Times New Roman" w:eastAsia="SimSun"/>
          <w:b w:val="0"/>
          <w:color w:val="auto"/>
          <w:sz w:val="24"/>
        </w:rPr>
        <w:t>在用户管理方面，管理员可查看系统中所有注册用户的账户信息，支持对用户进行创建、编辑、禁用和删除操作，并可设置用户的角色权限（管理员或普通用户）。用户列表页面以分页表格形式展示用户数据，支持按用户名和角色进行搜索和筛选。在数据管理方面，管理员可查看和维护排放记录数据，支持排放记录的增删改查操作，编辑页面以表单形式展示排放记录的各项属性字段，并通过下拉选择器关联地区、行业和排放源等维度信息。排放源配置和阈值配置功能允许管理员自定义排放源分类体系和预警阈值规则，为系统的灵活性和可配置性提供了支撑。模型管理页面展示系统支持的预测模型信息和历史预测记录，管理员可查看各模型的运行状态和预测性能指标。操作日志功能自动记录系统中所有用户的关键操作行为，包括操作时间、操作类型、操作用户、IP地址和操作描述等信息，为系统的安全审计和运维排查提供了完整的操作追溯能力。</w:t>
      </w:r>
    </w:p>
    <w:p w14:paraId="4417E69E">
      <w:pPr>
        <w:pStyle w:val="3"/>
        <w:keepNext/>
        <w:keepLines/>
        <w:pageBreakBefore/>
        <w:spacing w:before="312" w:beforeLines="100" w:after="312" w:afterLines="100" w:line="400" w:lineRule="exact"/>
        <w:ind w:firstLine="0" w:firstLineChars="0"/>
        <w:jc w:val="center"/>
        <w:rPr>
          <w:color w:val="auto"/>
        </w:rPr>
      </w:pPr>
      <w:bookmarkStart w:id="45" w:name="_Toc25475"/>
      <w:r>
        <w:rPr>
          <w:rFonts w:ascii="Times New Roman" w:hAnsi="Times New Roman" w:eastAsia="SimHei"/>
          <w:b w:val="0"/>
          <w:color w:val="auto"/>
          <w:sz w:val="32"/>
        </w:rPr>
        <w:t>第6章  结  论</w:t>
      </w:r>
      <w:bookmarkEnd w:id="45"/>
    </w:p>
    <w:p w14:paraId="66B3B2B1">
      <w:pPr>
        <w:spacing w:line="400" w:lineRule="exact"/>
        <w:ind w:firstLine="480" w:firstLineChars="200"/>
        <w:jc w:val="both"/>
        <w:rPr>
          <w:color w:val="auto"/>
        </w:rPr>
      </w:pPr>
      <w:r>
        <w:rPr>
          <w:rFonts w:ascii="Times New Roman" w:hAnsi="Times New Roman" w:eastAsia="SimSun"/>
          <w:b w:val="0"/>
          <w:color w:val="auto"/>
          <w:sz w:val="24"/>
        </w:rPr>
        <w:t>本论文设计并实现了一套基于Django框架的碳排放分析及预测可视化平台。系统以Python/Django为后端技术栈，SQLite为数据存储方案，Bootstrap和ECharts为前端展示方案，实现了碳排放数据的采集管理、多维度可视化分析、智能预测和预警管理等核心功能。通过对2015-2025年全国31个省份、4大排放源、20个行业的碳排放数据进行系统分析，平台从年度趋势、排放源结构、地区分布、季度波动、行业结构和影响因素等6个维度揭示了碳排放的变化规律和驱动因素。智能预测模块集成了LSTM、CNN及CNN-LSTM混合三种预测算法，能够为碳排放趋势预判提供科学参考。预警管理模块实现了基于阈值的碳排放异常自动检测，支持黄色、橙色、红色三级预警，为及时发现和处理异常排放事件提供了有效手段。</w:t>
      </w:r>
    </w:p>
    <w:p w14:paraId="53157800">
      <w:pPr>
        <w:spacing w:line="400" w:lineRule="exact"/>
        <w:ind w:firstLine="480" w:firstLineChars="200"/>
        <w:jc w:val="both"/>
        <w:rPr>
          <w:color w:val="auto"/>
        </w:rPr>
      </w:pPr>
      <w:r>
        <w:rPr>
          <w:rFonts w:ascii="Times New Roman" w:hAnsi="Times New Roman" w:eastAsia="SimSun"/>
          <w:b w:val="0"/>
          <w:color w:val="auto"/>
          <w:sz w:val="24"/>
        </w:rPr>
        <w:t>从技术实现角度看，本平台在以下几个方面取得了较好的效果：一是实现了碳排放数据的全流程管理，从数据采集、清洗、存储到多维分析、智能预测和预警告警，形成了完整的数据处理链路；二是前后端采用异步数据交互模式，通过RESTful API接口解耦了前端展示和后端计算，系统的响应速度和用户交互体验良好；三是模块化的Django应用架构使得系统具有良好的可维护性和可扩展性，各业务模块可独立开发、测试和部署；四是基于角色的权限控制机制有效保障了数据安全和业务合规性，管理员和普通用户各司其职，职责边界清晰。</w:t>
      </w:r>
    </w:p>
    <w:p w14:paraId="5AE423A6">
      <w:pPr>
        <w:spacing w:line="400" w:lineRule="exact"/>
        <w:ind w:firstLine="480" w:firstLineChars="200"/>
        <w:jc w:val="both"/>
        <w:rPr>
          <w:color w:val="auto"/>
        </w:rPr>
      </w:pPr>
      <w:r>
        <w:rPr>
          <w:rFonts w:ascii="Times New Roman" w:hAnsi="Times New Roman" w:eastAsia="SimSun"/>
          <w:b w:val="0"/>
          <w:color w:val="auto"/>
          <w:sz w:val="24"/>
        </w:rPr>
        <w:t>系统仍存在以下需要改进的方面：第一，当前的预测模块采用基于统计方法的降级方案，尚未接入真正的深度学习模型，预测精度有待提升，后续应部署TensorFlow或PyTorch框架实现CNN-LSTM模型的真实训练和推理，并引入模型自动调参和在线学习机制以持续提升预测性能；第二，数据库采用SQLite，在高并发和大数据量场景下性能受限，生产环境应迁移至PostgreSQL或MySQL等企业级数据库，并引入Redis等内存缓存工具优化高频查询的响应速度；第三，系统目前仅支持静态数据导入，缺乏与外部数据源的实时对接能力，后续应开发数据自动采集和同步机制，支持从政府数据开放平台、气象部门和环保监测站等数据源自动抓取最新数据；第四，可视化展示方面可进一步引入WebGIS地图技术，实现碳排放数据在地理空间上的三维可视化展示，提升数据表达的空间直观性；第五，移动端适配可进一步优化，考虑开发微信小程序或原生移动端应用，满足用户随时随地查看碳排放数据的需求。</w:t>
      </w:r>
    </w:p>
    <w:p w14:paraId="16EDF10B">
      <w:pPr>
        <w:pStyle w:val="3"/>
        <w:keepNext/>
        <w:keepLines/>
        <w:pageBreakBefore/>
        <w:spacing w:before="312" w:beforeLines="100" w:after="312" w:afterLines="100" w:line="400" w:lineRule="exact"/>
        <w:ind w:firstLine="0" w:firstLineChars="0"/>
        <w:jc w:val="center"/>
        <w:rPr>
          <w:color w:val="auto"/>
        </w:rPr>
      </w:pPr>
      <w:bookmarkStart w:id="46" w:name="_Toc7216"/>
      <w:r>
        <w:rPr>
          <w:rFonts w:ascii="Times New Roman" w:hAnsi="Times New Roman" w:eastAsia="SimHei"/>
          <w:b w:val="0"/>
          <w:color w:val="auto"/>
          <w:sz w:val="32"/>
        </w:rPr>
        <w:t>参考文献</w:t>
      </w:r>
      <w:bookmarkEnd w:id="46"/>
    </w:p>
    <w:p w14:paraId="59A57254">
      <w:pPr>
        <w:spacing w:line="400" w:lineRule="exact"/>
        <w:ind w:left="420" w:hanging="420"/>
        <w:jc w:val="both"/>
        <w:rPr>
          <w:color w:val="auto"/>
        </w:rPr>
      </w:pPr>
      <w:r>
        <w:rPr>
          <w:rFonts w:ascii="Times New Roman" w:hAnsi="Times New Roman" w:eastAsia="SimSun"/>
          <w:b w:val="0"/>
          <w:color w:val="auto"/>
          <w:sz w:val="21"/>
        </w:rPr>
        <w:t>[1] IPCC. Climate Change 2021: The Physical Science Basis. Contribution of Working Group I to the Sixth Assessment Report[R]. Cambridge University Press, 2021.</w:t>
      </w:r>
    </w:p>
    <w:p w14:paraId="7EB19A40">
      <w:pPr>
        <w:spacing w:line="400" w:lineRule="exact"/>
        <w:ind w:left="420" w:hanging="420"/>
        <w:jc w:val="both"/>
        <w:rPr>
          <w:color w:val="auto"/>
        </w:rPr>
      </w:pPr>
      <w:r>
        <w:rPr>
          <w:rFonts w:ascii="Times New Roman" w:hAnsi="Times New Roman" w:eastAsia="SimSun"/>
          <w:b w:val="0"/>
          <w:color w:val="auto"/>
          <w:sz w:val="21"/>
        </w:rPr>
        <w:t>[2] Raupach M R, Marland G, Ciais P, et al. Global and regional drivers of accelerating CO2 emissions[J]. Proceedings of the National Academy of Sciences, 2007, 104(24): 10288-10293.</w:t>
      </w:r>
    </w:p>
    <w:p w14:paraId="4B0E08DA">
      <w:pPr>
        <w:spacing w:line="400" w:lineRule="exact"/>
        <w:ind w:left="420" w:hanging="420"/>
        <w:jc w:val="both"/>
        <w:rPr>
          <w:color w:val="auto"/>
        </w:rPr>
      </w:pPr>
      <w:r>
        <w:rPr>
          <w:rFonts w:ascii="Times New Roman" w:hAnsi="Times New Roman" w:eastAsia="SimSun"/>
          <w:b w:val="0"/>
          <w:color w:val="auto"/>
          <w:sz w:val="21"/>
        </w:rPr>
        <w:t>[3] Acheampong A O, Boateng E B. Modelling carbon emission intensity: Application of artificial neural network[J]. Journal of Cleaner Production, 2019, 225: 833-856.</w:t>
      </w:r>
    </w:p>
    <w:p w14:paraId="28D49739">
      <w:pPr>
        <w:spacing w:line="400" w:lineRule="exact"/>
        <w:ind w:left="420" w:hanging="420"/>
        <w:jc w:val="both"/>
        <w:rPr>
          <w:color w:val="auto"/>
        </w:rPr>
      </w:pPr>
      <w:r>
        <w:rPr>
          <w:rFonts w:ascii="Times New Roman" w:hAnsi="Times New Roman" w:eastAsia="SimSun"/>
          <w:b w:val="0"/>
          <w:color w:val="auto"/>
          <w:sz w:val="21"/>
        </w:rPr>
        <w:t>[4] Liu Z, Guan D, Wei W, et al. Reduced carbon emission estimates from fossil fuel combustion and cement production in China[J]. Nature, 2015, 524(7565): 335-338.</w:t>
      </w:r>
    </w:p>
    <w:p w14:paraId="1358A48B">
      <w:pPr>
        <w:spacing w:line="400" w:lineRule="exact"/>
        <w:ind w:left="420" w:hanging="420"/>
        <w:jc w:val="both"/>
        <w:rPr>
          <w:color w:val="auto"/>
        </w:rPr>
      </w:pPr>
      <w:r>
        <w:rPr>
          <w:rFonts w:ascii="Times New Roman" w:hAnsi="Times New Roman" w:eastAsia="SimSun"/>
          <w:b w:val="0"/>
          <w:color w:val="auto"/>
          <w:sz w:val="21"/>
        </w:rPr>
        <w:t>[5] Lim B, Arik S O, Loeff N, et al. Temporal fusion transformers for interpretable multi-horizon time series forecasting[J]. International Journal of Forecasting, 2021, 37(4): 1748-1764.</w:t>
      </w:r>
    </w:p>
    <w:p w14:paraId="0F1C0014">
      <w:pPr>
        <w:spacing w:line="400" w:lineRule="exact"/>
        <w:ind w:left="420" w:hanging="420"/>
        <w:jc w:val="both"/>
        <w:rPr>
          <w:color w:val="auto"/>
        </w:rPr>
      </w:pPr>
      <w:r>
        <w:rPr>
          <w:rFonts w:ascii="Times New Roman" w:hAnsi="Times New Roman" w:eastAsia="SimSun"/>
          <w:b w:val="0"/>
          <w:color w:val="auto"/>
          <w:sz w:val="21"/>
        </w:rPr>
        <w:t>[6] 关大博, 刘竹, 耿涌, 等. 中国碳排放数据库(CEADs)的建设与应用[J]. 中国科学: 地球科学, 2020, 50(8): 1135-1145.</w:t>
      </w:r>
    </w:p>
    <w:p w14:paraId="34AB1E74">
      <w:pPr>
        <w:spacing w:line="400" w:lineRule="exact"/>
        <w:ind w:left="420" w:hanging="420"/>
        <w:jc w:val="both"/>
        <w:rPr>
          <w:color w:val="auto"/>
        </w:rPr>
      </w:pPr>
      <w:r>
        <w:rPr>
          <w:rFonts w:ascii="Times New Roman" w:hAnsi="Times New Roman" w:eastAsia="SimSun"/>
          <w:b w:val="0"/>
          <w:color w:val="auto"/>
          <w:sz w:val="21"/>
        </w:rPr>
        <w:t>[7] 周伟, 张磊, 李华. 基于Spring Boot的企业碳排放管理信息系统设计与实现[J]. 计算机应用与软件, 2022, 39(5): 86-92.</w:t>
      </w:r>
    </w:p>
    <w:p w14:paraId="07571B0C">
      <w:pPr>
        <w:spacing w:line="400" w:lineRule="exact"/>
        <w:ind w:left="420" w:hanging="420"/>
        <w:jc w:val="both"/>
        <w:rPr>
          <w:color w:val="auto"/>
        </w:rPr>
      </w:pPr>
      <w:r>
        <w:rPr>
          <w:rFonts w:ascii="Times New Roman" w:hAnsi="Times New Roman" w:eastAsia="SimSun"/>
          <w:b w:val="0"/>
          <w:color w:val="auto"/>
          <w:sz w:val="21"/>
        </w:rPr>
        <w:t>[8] 张明, 陈强, 刘洋. 基于Flask框架的工业碳排放监测平台设计[J]. 环境工程, 2023, 41(3): 187-193.</w:t>
      </w:r>
    </w:p>
    <w:p w14:paraId="230B3E24">
      <w:pPr>
        <w:spacing w:line="400" w:lineRule="exact"/>
        <w:ind w:left="420" w:hanging="420"/>
        <w:jc w:val="both"/>
        <w:rPr>
          <w:color w:val="auto"/>
        </w:rPr>
      </w:pPr>
      <w:r>
        <w:rPr>
          <w:rFonts w:ascii="Times New Roman" w:hAnsi="Times New Roman" w:eastAsia="SimSun"/>
          <w:b w:val="0"/>
          <w:color w:val="auto"/>
          <w:sz w:val="21"/>
        </w:rPr>
        <w:t>[9] 王华, 赵刚, 钱学明. 基于LSTM-Attention的碳排放预测方法研究[J]. 环境科学学报, 2023, 43(2): 412-420.</w:t>
      </w:r>
    </w:p>
    <w:p w14:paraId="38C8A4FC">
      <w:pPr>
        <w:spacing w:line="400" w:lineRule="exact"/>
        <w:ind w:left="420" w:hanging="420"/>
        <w:jc w:val="both"/>
        <w:rPr>
          <w:color w:val="auto"/>
        </w:rPr>
      </w:pPr>
      <w:r>
        <w:rPr>
          <w:rFonts w:ascii="Times New Roman" w:hAnsi="Times New Roman" w:eastAsia="SimSun"/>
          <w:b w:val="0"/>
          <w:color w:val="auto"/>
          <w:sz w:val="21"/>
        </w:rPr>
        <w:t>[10] Django Software Foundation. Django documentation (Version 4.2)[EB/OL]. https://docs.djangoproject.com, 2024.</w:t>
      </w:r>
    </w:p>
    <w:p w14:paraId="26F150F9">
      <w:pPr>
        <w:spacing w:line="400" w:lineRule="exact"/>
        <w:ind w:left="420" w:hanging="420"/>
        <w:jc w:val="both"/>
        <w:rPr>
          <w:color w:val="auto"/>
        </w:rPr>
      </w:pPr>
      <w:r>
        <w:rPr>
          <w:rFonts w:ascii="Times New Roman" w:hAnsi="Times New Roman" w:eastAsia="SimSun"/>
          <w:b w:val="0"/>
          <w:color w:val="auto"/>
          <w:sz w:val="21"/>
        </w:rPr>
        <w:t>[11] Apache ECharts. Apache ECharts Documentation[EB/OL]. https://echarts.apache.org, 2024.</w:t>
      </w:r>
    </w:p>
    <w:p w14:paraId="670D4DB0">
      <w:pPr>
        <w:spacing w:line="400" w:lineRule="exact"/>
        <w:ind w:left="420" w:hanging="420"/>
        <w:jc w:val="both"/>
        <w:rPr>
          <w:color w:val="auto"/>
        </w:rPr>
      </w:pPr>
      <w:r>
        <w:rPr>
          <w:rFonts w:ascii="Times New Roman" w:hAnsi="Times New Roman" w:eastAsia="SimSun"/>
          <w:b w:val="0"/>
          <w:color w:val="auto"/>
          <w:sz w:val="21"/>
        </w:rPr>
        <w:t>[12] Hochreiter S, Schmidhuber J. Long short-term memory[J]. Neural Computation, 1997, 9(8): 1735-1780.</w:t>
      </w:r>
    </w:p>
    <w:p w14:paraId="39CECB89">
      <w:pPr>
        <w:spacing w:line="400" w:lineRule="exact"/>
        <w:ind w:left="420" w:hanging="420"/>
        <w:jc w:val="both"/>
        <w:rPr>
          <w:color w:val="auto"/>
        </w:rPr>
      </w:pPr>
      <w:r>
        <w:rPr>
          <w:rFonts w:ascii="Times New Roman" w:hAnsi="Times New Roman" w:eastAsia="SimSun"/>
          <w:b w:val="0"/>
          <w:color w:val="auto"/>
          <w:sz w:val="21"/>
        </w:rPr>
        <w:t>[13] LeCun Y, Bottou L, Bengio Y, et al. Gradient-based learning applied to document recognition[J]. Proceedings of the IEEE, 1998, 86(11): 2278-2324.</w:t>
      </w:r>
    </w:p>
    <w:p w14:paraId="2401E324">
      <w:pPr>
        <w:spacing w:line="400" w:lineRule="exact"/>
        <w:ind w:left="420" w:hanging="420"/>
        <w:jc w:val="both"/>
        <w:rPr>
          <w:color w:val="auto"/>
        </w:rPr>
      </w:pPr>
      <w:r>
        <w:rPr>
          <w:rFonts w:ascii="Times New Roman" w:hAnsi="Times New Roman" w:eastAsia="SimSun"/>
          <w:b w:val="0"/>
          <w:color w:val="auto"/>
          <w:sz w:val="21"/>
        </w:rPr>
        <w:t>[14] 刘鑫, 王磊. 基于CNN-LSTM混合模型的碳排放预测研究[J]. 计算机工程与应用, 2024, 60(1): 245-252.</w:t>
      </w:r>
    </w:p>
    <w:p w14:paraId="4ABC09A3">
      <w:pPr>
        <w:spacing w:line="400" w:lineRule="exact"/>
        <w:ind w:left="420" w:hanging="420"/>
        <w:jc w:val="both"/>
        <w:rPr>
          <w:color w:val="auto"/>
        </w:rPr>
      </w:pPr>
      <w:r>
        <w:rPr>
          <w:rFonts w:ascii="Times New Roman" w:hAnsi="Times New Roman" w:eastAsia="SimSun"/>
          <w:b w:val="0"/>
          <w:color w:val="auto"/>
          <w:sz w:val="21"/>
        </w:rPr>
        <w:t>[15] 国家统计局. 中国能源统计年鉴2024[M]. 北京: 中国统计出版社, 2024.</w:t>
      </w:r>
    </w:p>
    <w:p w14:paraId="31377A98">
      <w:pPr>
        <w:pStyle w:val="3"/>
        <w:keepNext/>
        <w:keepLines/>
        <w:pageBreakBefore/>
        <w:spacing w:before="312" w:beforeLines="100" w:after="312" w:afterLines="100" w:line="400" w:lineRule="exact"/>
        <w:ind w:firstLine="0" w:firstLineChars="0"/>
        <w:jc w:val="center"/>
        <w:rPr>
          <w:color w:val="auto"/>
        </w:rPr>
      </w:pPr>
      <w:bookmarkStart w:id="47" w:name="_Toc26701"/>
      <w:r>
        <w:rPr>
          <w:rFonts w:ascii="Times New Roman" w:hAnsi="Times New Roman" w:eastAsia="SimHei"/>
          <w:b w:val="0"/>
          <w:color w:val="auto"/>
          <w:sz w:val="32"/>
        </w:rPr>
        <w:t>致  谢</w:t>
      </w:r>
      <w:bookmarkEnd w:id="47"/>
    </w:p>
    <w:p w14:paraId="283D357B">
      <w:pPr>
        <w:spacing w:line="400" w:lineRule="exact"/>
        <w:ind w:firstLine="480" w:firstLineChars="200"/>
        <w:jc w:val="both"/>
        <w:rPr>
          <w:color w:val="auto"/>
        </w:rPr>
      </w:pPr>
      <w:r>
        <w:rPr>
          <w:rFonts w:ascii="Times New Roman" w:hAnsi="Times New Roman" w:eastAsia="SimSun"/>
          <w:b w:val="0"/>
          <w:color w:val="auto"/>
          <w:sz w:val="24"/>
        </w:rPr>
        <w:t>时光荏苒，大学四年的学习生活即将画上句号。在论文完成之际，我要向所有给予我帮助和支持的人致以最诚挚的感谢。</w:t>
      </w:r>
    </w:p>
    <w:p w14:paraId="326D7509">
      <w:pPr>
        <w:spacing w:line="400" w:lineRule="exact"/>
        <w:ind w:firstLine="480" w:firstLineChars="200"/>
        <w:jc w:val="both"/>
        <w:rPr>
          <w:color w:val="auto"/>
        </w:rPr>
      </w:pPr>
      <w:r>
        <w:rPr>
          <w:rFonts w:ascii="Times New Roman" w:hAnsi="Times New Roman" w:eastAsia="SimSun"/>
          <w:b w:val="0"/>
          <w:color w:val="auto"/>
          <w:sz w:val="24"/>
        </w:rPr>
        <w:t>首先，我要衷心感谢我的指导教师。在毕业设计的整个过程中，导师从选题方向的确定、技术方案的选择到论文的撰写和修改，都给予了我悉心的指导和耐心的帮助。导师严谨的学术态度、深厚的专业知识和无私的奉献精神，使我在专业技能和科研素养方面都得到了很大的提升。</w:t>
      </w:r>
    </w:p>
    <w:p w14:paraId="68FAD2D8">
      <w:pPr>
        <w:spacing w:line="400" w:lineRule="exact"/>
        <w:ind w:firstLine="480" w:firstLineChars="200"/>
        <w:jc w:val="both"/>
        <w:rPr>
          <w:color w:val="auto"/>
        </w:rPr>
      </w:pPr>
      <w:r>
        <w:rPr>
          <w:rFonts w:ascii="Times New Roman" w:hAnsi="Times New Roman" w:eastAsia="SimSun"/>
          <w:b w:val="0"/>
          <w:color w:val="auto"/>
          <w:sz w:val="24"/>
        </w:rPr>
        <w:t>其次，我要感谢同学们在学习和生活中给予我的帮助和陪伴。在项目开发和论文撰写过程中，我们相互讨论、相互鼓励，共同克服了许多技术难题和学业挑战。</w:t>
      </w:r>
    </w:p>
    <w:p w14:paraId="5F5E6B72">
      <w:pPr>
        <w:spacing w:line="400" w:lineRule="exact"/>
        <w:ind w:firstLine="480" w:firstLineChars="200"/>
        <w:jc w:val="both"/>
        <w:rPr>
          <w:color w:val="auto"/>
        </w:rPr>
      </w:pPr>
      <w:r>
        <w:rPr>
          <w:rFonts w:ascii="Times New Roman" w:hAnsi="Times New Roman" w:eastAsia="SimSun"/>
          <w:b w:val="0"/>
          <w:color w:val="auto"/>
          <w:sz w:val="24"/>
        </w:rPr>
        <w:t>最后，我要特别感谢我的家人，是他们的理解、支持和鼓励，让我能够全身心地投入到学业中来。</w:t>
      </w:r>
    </w:p>
    <w:p w14:paraId="19CD391F">
      <w:pPr>
        <w:spacing w:line="400" w:lineRule="exact"/>
        <w:ind w:firstLine="480" w:firstLineChars="200"/>
        <w:jc w:val="both"/>
        <w:rPr>
          <w:color w:val="auto"/>
        </w:rPr>
      </w:pPr>
      <w:r>
        <w:rPr>
          <w:rFonts w:ascii="Times New Roman" w:hAnsi="Times New Roman" w:eastAsia="SimSun"/>
          <w:b w:val="0"/>
          <w:color w:val="auto"/>
          <w:sz w:val="24"/>
        </w:rPr>
        <w:t>衷心感谢所有在我成长道路上给予过帮助的人！</w:t>
      </w:r>
    </w:p>
    <w:p w14:paraId="74576578">
      <w:pPr>
        <w:pStyle w:val="3"/>
        <w:keepNext/>
        <w:keepLines/>
        <w:pageBreakBefore/>
        <w:spacing w:before="312" w:beforeLines="100" w:after="312" w:afterLines="100" w:line="400" w:lineRule="exact"/>
        <w:ind w:firstLine="0" w:firstLineChars="0"/>
        <w:jc w:val="center"/>
        <w:rPr>
          <w:color w:val="auto"/>
        </w:rPr>
      </w:pPr>
      <w:bookmarkStart w:id="48" w:name="_Toc17342"/>
      <w:r>
        <w:rPr>
          <w:rFonts w:ascii="Times New Roman" w:hAnsi="Times New Roman" w:eastAsia="SimHei"/>
          <w:b w:val="0"/>
          <w:color w:val="auto"/>
          <w:sz w:val="32"/>
        </w:rPr>
        <w:t>附  录</w:t>
      </w:r>
      <w:bookmarkEnd w:id="48"/>
    </w:p>
    <w:p w14:paraId="13AED2AF">
      <w:pPr>
        <w:spacing w:line="400" w:lineRule="exact"/>
        <w:ind w:firstLine="480" w:firstLineChars="200"/>
        <w:jc w:val="both"/>
        <w:rPr>
          <w:color w:val="auto"/>
        </w:rPr>
      </w:pPr>
      <w:r>
        <w:rPr>
          <w:rFonts w:ascii="Times New Roman" w:hAnsi="Times New Roman" w:eastAsia="SimSun"/>
          <w:b w:val="0"/>
          <w:color w:val="auto"/>
          <w:sz w:val="24"/>
        </w:rPr>
        <w:t>### 附录A 系统核心数据模型定义</w:t>
      </w:r>
    </w:p>
    <w:p w14:paraId="49FE684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emissions/models.py - 排放记录模型</w:t>
      </w:r>
    </w:p>
    <w:p w14:paraId="640E480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class EmissionRecord(models.Model):</w:t>
      </w:r>
    </w:p>
    <w:p w14:paraId="68B4A36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"""排放记录 - 核心数据表"""</w:t>
      </w:r>
    </w:p>
    <w:p w14:paraId="0A03F1C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QUARTER_CHOICES = [</w:t>
      </w:r>
    </w:p>
    <w:p w14:paraId="62A1E13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(1, '第一季度'), (2, '第二季度'),</w:t>
      </w:r>
    </w:p>
    <w:p w14:paraId="758A10B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(3, '第三季度'), (4, '第四季度'),</w:t>
      </w:r>
    </w:p>
    <w:p w14:paraId="16D7161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001EFEED">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year = models.IntegerField(verbose_name='年份')</w:t>
      </w:r>
    </w:p>
    <w:p w14:paraId="29D4A54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quarter = models.IntegerField(choices=QUARTER_CHOICES, verbose_name='季度')</w:t>
      </w:r>
    </w:p>
    <w:p w14:paraId="718EC1F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region = models.ForeignKey(Region, on_delete=models.CASCADE, verbose_name='地区')</w:t>
      </w:r>
    </w:p>
    <w:p w14:paraId="4B0F1E0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industry = models.ForeignKey(Industry, on_delete=models.CASCADE, verbose_name='行业')</w:t>
      </w:r>
    </w:p>
    <w:p w14:paraId="08D7038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source = models.ForeignKey(EmissionSource, on_delete=models.CASCADE, verbose_name='排放源')</w:t>
      </w:r>
    </w:p>
    <w:p w14:paraId="0D610E1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emission_amount = models.FloatField(verbose_name='排放量(万吨CO2)')</w:t>
      </w:r>
    </w:p>
    <w:p w14:paraId="0574409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energy_consumption = models.FloatField(default=0, verbose_name='能源消耗(万吨标准煤)')</w:t>
      </w:r>
    </w:p>
    <w:p w14:paraId="7A835C7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gdp = models.FloatField(default=0, verbose_name='GDP(亿元)')</w:t>
      </w:r>
    </w:p>
    <w:p w14:paraId="3F50E76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population = models.FloatField(default=0, verbose_name='人口(万人)')</w:t>
      </w:r>
    </w:p>
    <w:p w14:paraId="093EC113">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energy_efficiency = models.FloatField(default=0, verbose_name='能源效率')</w:t>
      </w:r>
    </w:p>
    <w:p w14:paraId="0863EC8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06DAD14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prediction/models.py - 预测结果模型</w:t>
      </w:r>
    </w:p>
    <w:p w14:paraId="40EE7E9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class PredictionResult(models.Model):</w:t>
      </w:r>
    </w:p>
    <w:p w14:paraId="1BA2841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"""预测结果"""</w:t>
      </w:r>
    </w:p>
    <w:p w14:paraId="2B10121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MODEL_CHOICES = [</w:t>
      </w:r>
    </w:p>
    <w:p w14:paraId="04A2455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('lstm', 'LSTM'), ('cnn', 'CNN'), ('cnn_lstm', 'CNN-LSTM混合'),</w:t>
      </w:r>
    </w:p>
    <w:p w14:paraId="52E1DE2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630189C6">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target_year = models.IntegerField(verbose_name='预测年份')</w:t>
      </w:r>
    </w:p>
    <w:p w14:paraId="76AEB31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target_quarter = models.IntegerField(verbose_name='预测季度')</w:t>
      </w:r>
    </w:p>
    <w:p w14:paraId="0978336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predicted_amount = models.FloatField(verbose_name='预测排放量(万吨CO2)')</w:t>
      </w:r>
    </w:p>
    <w:p w14:paraId="2A18CB9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actual_amount = models.FloatField(null=True, verbose_name='实际排放量')</w:t>
      </w:r>
    </w:p>
    <w:p w14:paraId="4D0CD28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model_type = models.CharField(max_length=20, choices=MODEL_CHOICES)</w:t>
      </w:r>
    </w:p>
    <w:p w14:paraId="7BF23EDE">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confidence = models.FloatField(default=0.95, verbose_name='置信度')</w:t>
      </w:r>
    </w:p>
    <w:p w14:paraId="428EC9B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mae = models.FloatField(null=True, verbose_name='MAE')</w:t>
      </w:r>
    </w:p>
    <w:p w14:paraId="321D810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rmse = models.FloatField(null=True, verbose_name='RMSE')</w:t>
      </w:r>
    </w:p>
    <w:p w14:paraId="2F3C8EA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r2_score = models.FloatField(null=True, verbose_name='R2分数')</w:t>
      </w:r>
    </w:p>
    <w:p w14:paraId="1B8807B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1B0D1CC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alerts/models.py - 预警模型</w:t>
      </w:r>
    </w:p>
    <w:p w14:paraId="4B9E4BD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class ThresholdConfig(models.Model):</w:t>
      </w:r>
    </w:p>
    <w:p w14:paraId="41C5AB8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"""阈值配置"""</w:t>
      </w:r>
    </w:p>
    <w:p w14:paraId="5471956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name = models.CharField(max_length=100, verbose_name='配置名称')</w:t>
      </w:r>
    </w:p>
    <w:p w14:paraId="5F63288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region = models.ForeignKey(Region, on_delete=models.CASCADE, null=True)</w:t>
      </w:r>
    </w:p>
    <w:p w14:paraId="49E2877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industry = models.ForeignKey(Industry, on_delete=models.CASCADE, null=True)</w:t>
      </w:r>
    </w:p>
    <w:p w14:paraId="7A0362FA">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method = models.CharField(max_length=20, verbose_name='阈值方法')</w:t>
      </w:r>
    </w:p>
    <w:p w14:paraId="17FC911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upper_limit = models.FloatField(verbose_name='预警上限(万吨CO2)')</w:t>
      </w:r>
    </w:p>
    <w:p w14:paraId="52D5354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warning_level = models.CharField(max_length=10, verbose_name='预警级别')</w:t>
      </w:r>
    </w:p>
    <w:p w14:paraId="40299872">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is_active = models.BooleanField(default=True, verbose_name='是否启用')</w:t>
      </w:r>
    </w:p>
    <w:p w14:paraId="21D17D7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w:t>
      </w:r>
    </w:p>
    <w:p w14:paraId="7C80382C">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class AlertRecord(models.Model):</w:t>
      </w:r>
    </w:p>
    <w:p w14:paraId="5BCB47E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"""预警记录"""</w:t>
      </w:r>
    </w:p>
    <w:p w14:paraId="764108E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emission_record = models.ForeignKey(EmissionRecord, on_delete=models.CASCADE)</w:t>
      </w:r>
    </w:p>
    <w:p w14:paraId="43B7134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threshold = models.ForeignKey(ThresholdConfig, on_delete=models.SET_NULL, null=True)</w:t>
      </w:r>
    </w:p>
    <w:p w14:paraId="2730BF4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alert_level = models.CharField(max_length=10, verbose_name='预警级别')</w:t>
      </w:r>
    </w:p>
    <w:p w14:paraId="1F9A1CD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alert_message = models.TextField(verbose_name='预警信息')</w:t>
      </w:r>
    </w:p>
    <w:p w14:paraId="3CA61A2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emission_value = models.FloatField(verbose_name='排放值')</w:t>
      </w:r>
    </w:p>
    <w:p w14:paraId="3FD98919">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threshold_value = models.FloatField(verbose_name='阈值')</w:t>
      </w:r>
    </w:p>
    <w:p w14:paraId="0C2C1927">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is_read = models.BooleanField(default=False)</w:t>
      </w:r>
    </w:p>
    <w:p w14:paraId="55DFBE8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is_resolved = models.BooleanField(default=False)</w:t>
      </w:r>
    </w:p>
    <w:p w14:paraId="258895FF">
      <w:pPr>
        <w:spacing w:line="400" w:lineRule="exact"/>
        <w:ind w:firstLine="480" w:firstLineChars="200"/>
        <w:jc w:val="both"/>
        <w:rPr>
          <w:color w:val="auto"/>
        </w:rPr>
      </w:pPr>
      <w:r>
        <w:rPr>
          <w:rFonts w:ascii="Times New Roman" w:hAnsi="Times New Roman" w:eastAsia="SimSun"/>
          <w:b w:val="0"/>
          <w:color w:val="auto"/>
          <w:sz w:val="24"/>
        </w:rPr>
        <w:t>### 附录B 系统路由配置</w:t>
      </w:r>
    </w:p>
    <w:p w14:paraId="4B51A64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carbon_emission/urls.py - 主路由</w:t>
      </w:r>
    </w:p>
    <w:p w14:paraId="4ABCCA9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urlpatterns = [</w:t>
      </w:r>
    </w:p>
    <w:p w14:paraId="57A5EAC8">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path('django-admin/', admin.site.urls),</w:t>
      </w:r>
    </w:p>
    <w:p w14:paraId="73A43F15">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path('', include('users.urls')),</w:t>
      </w:r>
    </w:p>
    <w:p w14:paraId="08C95AAF">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path('emissions/', include('emissions.urls')),</w:t>
      </w:r>
    </w:p>
    <w:p w14:paraId="4A5809CB">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path('analysis/', include('analysis.urls')),</w:t>
      </w:r>
    </w:p>
    <w:p w14:paraId="4FA2B460">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path('prediction/', include('prediction.urls')),</w:t>
      </w:r>
    </w:p>
    <w:p w14:paraId="36C2BB11">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 xml:space="preserve">    path('alerts/', include('alerts.urls')),</w:t>
      </w:r>
    </w:p>
    <w:p w14:paraId="1BDF8B74">
      <w:pPr>
        <w:pBdr>
          <w:top w:val="single" w:color="BFBFBF" w:sz="4" w:space="1"/>
          <w:left w:val="single" w:color="BFBFBF" w:sz="4" w:space="4"/>
          <w:bottom w:val="single" w:color="BFBFBF" w:sz="4" w:space="1"/>
          <w:right w:val="single" w:color="BFBFBF" w:sz="4" w:space="4"/>
        </w:pBdr>
        <w:shd w:val="clear" w:color="auto" w:fill="F2F2F2"/>
        <w:spacing w:line="400" w:lineRule="exact"/>
        <w:ind w:firstLine="0" w:firstLineChars="0"/>
        <w:jc w:val="left"/>
        <w:rPr>
          <w:color w:val="auto"/>
        </w:rPr>
      </w:pPr>
      <w:r>
        <w:rPr>
          <w:rFonts w:ascii="Consolas" w:hAnsi="Consolas" w:eastAsia="SimSun"/>
          <w:b w:val="0"/>
          <w:color w:val="auto"/>
          <w:sz w:val="21"/>
        </w:rPr>
        <w:t>]</w:t>
      </w:r>
    </w:p>
    <w:sectPr>
      <w:headerReference r:id="rId11" w:type="default"/>
      <w:footerReference r:id="rId12" w:type="default"/>
      <w:pgSz w:w="11906" w:h="16838"/>
      <w:pgMar w:top="1417" w:right="1417" w:bottom="1417" w:left="1984"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17527DA-8A93-4AEA-99CF-3066890034D1}"/>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embedRegular r:id="rId2" w:fontKey="{10D389C4-4378-4E50-8805-14BD648CD3F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975F1D20-A9F5-4EFE-BE6F-1AE727FCEE93}"/>
  </w:font>
  <w:font w:name="Cambria">
    <w:panose1 w:val="02040503050406030204"/>
    <w:charset w:val="00"/>
    <w:family w:val="auto"/>
    <w:pitch w:val="default"/>
    <w:sig w:usb0="E00006FF" w:usb1="420024FF" w:usb2="02000000" w:usb3="00000000" w:csb0="2000019F" w:csb1="00000000"/>
  </w:font>
  <w:font w:name="ＭＳ 明朝">
    <w:altName w:val="TsangerXuanSanM W05"/>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KaiTi">
    <w:panose1 w:val="02010609060101010101"/>
    <w:charset w:val="86"/>
    <w:family w:val="auto"/>
    <w:pitch w:val="default"/>
    <w:sig w:usb0="800002BF" w:usb1="38CF7CFA" w:usb2="00000016" w:usb3="00000000" w:csb0="00040001" w:csb1="00000000"/>
    <w:embedRegular r:id="rId4" w:fontKey="{1AD82B26-1C68-4E64-BA57-056058C30C28}"/>
  </w:font>
  <w:font w:name="Consolas">
    <w:panose1 w:val="020B0609020204030204"/>
    <w:charset w:val="00"/>
    <w:family w:val="auto"/>
    <w:pitch w:val="default"/>
    <w:sig w:usb0="E00006FF" w:usb1="0000FCFF" w:usb2="00000001" w:usb3="00000000" w:csb0="6000019F" w:csb1="DFD70000"/>
    <w:embedRegular r:id="rId5" w:fontKey="{A43F184B-C517-44F3-A052-13D021056FAB}"/>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TsangerXuanSanM W05">
    <w:panose1 w:val="02020400000000000000"/>
    <w:charset w:val="80"/>
    <w:family w:val="auto"/>
    <w:pitch w:val="default"/>
    <w:sig w:usb0="800002BF" w:usb1="184D64F8" w:usb2="00000012" w:usb3="00000000" w:csb0="00020001" w:csb1="00000000"/>
  </w:font>
  <w:font w:name="DengXian">
    <w:panose1 w:val="02010600030101010101"/>
    <w:charset w:val="86"/>
    <w:family w:val="auto"/>
    <w:pitch w:val="default"/>
    <w:sig w:usb0="A00002BF" w:usb1="38CF7CFA" w:usb2="00000016" w:usb3="00000000" w:csb0="0004000F" w:csb1="00000000"/>
    <w:embedRegular r:id="rId6" w:fontKey="{9738299B-D511-4F8A-A432-CF1425096535}"/>
  </w:font>
  <w:font w:name="游明朝">
    <w:altName w:val="AMGDT"/>
    <w:panose1 w:val="00000000000000000000"/>
    <w:charset w:val="00"/>
    <w:family w:val="auto"/>
    <w:pitch w:val="default"/>
    <w:sig w:usb0="00000000" w:usb1="00000000" w:usb2="00000000" w:usb3="00000000" w:csb0="00000000" w:csb1="00000000"/>
  </w:font>
  <w:font w:name="STKaiti">
    <w:panose1 w:val="02010600040101010101"/>
    <w:charset w:val="86"/>
    <w:family w:val="auto"/>
    <w:pitch w:val="default"/>
    <w:sig w:usb0="A00002BF" w:usb1="78CF7CFB" w:usb2="00000016" w:usb3="00000000" w:csb0="6006009F" w:csb1="DFD70000"/>
    <w:embedRegular r:id="rId7" w:fontKey="{1F949579-1208-46A7-B44B-4D12FEBD407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D1BE4">
    <w:pPr>
      <w:widowControl w:val="0"/>
      <w:tabs>
        <w:tab w:val="center" w:pos="4153"/>
        <w:tab w:val="right" w:pos="8306"/>
      </w:tabs>
      <w:snapToGrid w:val="0"/>
      <w:spacing w:line="400" w:lineRule="exact"/>
      <w:ind w:firstLine="360" w:firstLineChars="200"/>
      <w:jc w:val="left"/>
      <w:rPr>
        <w:rFonts w:ascii="Times New Roman" w:hAnsi="Times New Roman" w:eastAsia="SimSun"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A3782">
    <w:pPr>
      <w:widowControl w:val="0"/>
      <w:tabs>
        <w:tab w:val="center" w:pos="4153"/>
        <w:tab w:val="right" w:pos="8306"/>
      </w:tabs>
      <w:snapToGrid w:val="0"/>
      <w:spacing w:line="400" w:lineRule="exact"/>
      <w:ind w:firstLine="360" w:firstLineChars="200"/>
      <w:jc w:val="left"/>
      <w:rPr>
        <w:rFonts w:ascii="Times New Roman" w:hAnsi="Times New Roman" w:eastAsia="SimSun"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B860D">
    <w:pPr>
      <w:widowControl w:val="0"/>
      <w:tabs>
        <w:tab w:val="center" w:pos="4153"/>
        <w:tab w:val="right" w:pos="8306"/>
      </w:tabs>
      <w:snapToGrid w:val="0"/>
      <w:spacing w:line="400" w:lineRule="exact"/>
      <w:ind w:firstLine="360" w:firstLineChars="200"/>
      <w:jc w:val="left"/>
      <w:rPr>
        <w:rFonts w:ascii="Times New Roman" w:hAnsi="Times New Roman" w:eastAsia="SimSun" w:cs="Times New Roman"/>
        <w:kern w:val="2"/>
        <w:sz w:val="18"/>
        <w:szCs w:val="18"/>
        <w:lang w:val="en-US" w:eastAsia="zh-CN" w:bidi="ar-S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834B8">
    <w:pPr>
      <w:widowControl w:val="0"/>
      <w:tabs>
        <w:tab w:val="center" w:pos="4153"/>
        <w:tab w:val="right" w:pos="8306"/>
      </w:tabs>
      <w:snapToGrid w:val="0"/>
      <w:spacing w:line="400" w:lineRule="exact"/>
      <w:ind w:firstLine="360" w:firstLineChars="200"/>
      <w:jc w:val="left"/>
      <w:rPr>
        <w:rFonts w:ascii="Times New Roman" w:hAnsi="Times New Roman" w:eastAsia="SimSun" w:cs="Times New Roman"/>
        <w:kern w:val="2"/>
        <w:sz w:val="18"/>
        <w:szCs w:val="18"/>
        <w:lang w:val="en-US" w:eastAsia="zh-CN" w:bidi="ar-S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15F46">
    <w:pPr>
      <w:widowControl w:val="0"/>
      <w:pBdr>
        <w:bottom w:val="none" w:color="auto" w:sz="0" w:space="0"/>
      </w:pBdr>
      <w:tabs>
        <w:tab w:val="center" w:pos="4153"/>
        <w:tab w:val="right" w:pos="8306"/>
      </w:tabs>
      <w:snapToGrid w:val="0"/>
      <w:spacing w:line="400" w:lineRule="exact"/>
      <w:ind w:firstLine="360" w:firstLineChars="200"/>
      <w:jc w:val="center"/>
      <w:rPr>
        <w:rFonts w:ascii="Times New Roman" w:hAnsi="Times New Roman" w:eastAsia="SimSun"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0F158">
    <w:pPr>
      <w:widowControl w:val="0"/>
      <w:pBdr>
        <w:bottom w:val="single" w:color="auto" w:sz="6" w:space="1"/>
      </w:pBdr>
      <w:tabs>
        <w:tab w:val="center" w:pos="4153"/>
        <w:tab w:val="right" w:pos="8306"/>
      </w:tabs>
      <w:snapToGrid w:val="0"/>
      <w:spacing w:line="400" w:lineRule="exact"/>
      <w:ind w:firstLine="360" w:firstLineChars="200"/>
      <w:jc w:val="center"/>
      <w:rPr>
        <w:rFonts w:ascii="Times New Roman" w:hAnsi="Times New Roman" w:eastAsia="SimSun" w:cs="Times New Roman"/>
        <w:kern w:val="2"/>
        <w:sz w:val="18"/>
        <w:szCs w:val="18"/>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F8BBF">
    <w:pPr>
      <w:widowControl w:val="0"/>
      <w:pBdr>
        <w:bottom w:val="single" w:color="auto" w:sz="6" w:space="1"/>
      </w:pBdr>
      <w:tabs>
        <w:tab w:val="center" w:pos="4153"/>
        <w:tab w:val="right" w:pos="8306"/>
      </w:tabs>
      <w:snapToGrid w:val="0"/>
      <w:spacing w:line="400" w:lineRule="exact"/>
      <w:ind w:firstLine="360" w:firstLineChars="200"/>
      <w:jc w:val="center"/>
      <w:rPr>
        <w:rFonts w:ascii="Times New Roman" w:hAnsi="Times New Roman" w:eastAsia="SimSun" w:cs="Times New Roman"/>
        <w:kern w:val="2"/>
        <w:sz w:val="18"/>
        <w:szCs w:val="18"/>
        <w:lang w:val="en-US" w:eastAsia="zh-CN" w:bidi="ar-S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D3DD">
    <w:pPr>
      <w:widowControl w:val="0"/>
      <w:pBdr>
        <w:bottom w:val="none" w:color="auto" w:sz="0" w:space="0"/>
      </w:pBdr>
      <w:tabs>
        <w:tab w:val="center" w:pos="4153"/>
        <w:tab w:val="right" w:pos="8306"/>
      </w:tabs>
      <w:snapToGrid w:val="0"/>
      <w:spacing w:line="400" w:lineRule="exact"/>
      <w:ind w:firstLine="360" w:firstLineChars="200"/>
      <w:jc w:val="center"/>
      <w:rPr>
        <w:rFonts w:ascii="Times New Roman" w:hAnsi="Times New Roman" w:eastAsia="SimSun" w:cs="Times New Roman"/>
        <w:kern w:val="2"/>
        <w:sz w:val="18"/>
        <w:szCs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D13B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SimSun"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图片"/>
    <w:basedOn w:val="1"/>
    <w:uiPriority w:val="0"/>
    <w:pPr>
      <w:spacing w:line="240" w:lineRule="auto"/>
    </w:pPr>
    <w:rPr>
      <w:color w:val="auto"/>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8547</Words>
  <Characters>11307</Characters>
  <Lines>0</Lines>
  <Paragraphs>0</Paragraphs>
  <TotalTime>0</TotalTime>
  <ScaleCrop>false</ScaleCrop>
  <LinksUpToDate>false</LinksUpToDate>
  <CharactersWithSpaces>11619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拿枪的Jade</cp:lastModifiedBy>
  <dcterms:modified xsi:type="dcterms:W3CDTF">2026-03-04T12:51:18Z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eyJoZGlkIjoiZWYxNjkzODIzY2EwZjg3OTg0Zjg3NjQzMmY1MTZkMjIiLCJ1c2VySWQiOiIyNTAzNjQ5NTcifQ==</vt:lpwstr>
  </property>
  <property fmtid="{D5CDD505-2E9C-101B-9397-08002B2CF9AE}" pid="3" name="KSOProductBuildVer">
    <vt:lpwstr>2052-12.1.0.25225</vt:lpwstr>
  </property>
  <property fmtid="{D5CDD505-2E9C-101B-9397-08002B2CF9AE}" pid="4" name="ICV">
    <vt:lpwstr>DD5B13F5854F46EC8B128639577541C6_12</vt:lpwstr>
  </property>
</Properties>
</file>