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080" w:rsidRPr="00206080" w:rsidRDefault="00206080" w:rsidP="00206080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</w:pPr>
      <w:r w:rsidRPr="00206080"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  <w:t>SS27户外运动鞋设计及原辅料开发实施方案：强制性规范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679"/>
        <w:gridCol w:w="2195"/>
        <w:gridCol w:w="2167"/>
        <w:gridCol w:w="1829"/>
      </w:tblGrid>
      <w:tr w:rsidR="00206080" w:rsidRPr="00206080" w:rsidTr="002060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责任人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行动领域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强制性规范 (Mandatory Specification)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关键指标 (Key Metric) / 原辅料要求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战略时间点</w:t>
            </w:r>
          </w:p>
        </w:tc>
      </w:tr>
      <w:tr w:rsidR="00206080" w:rsidRPr="00206080" w:rsidTr="002060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产品总监 (PD)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中</w:t>
            </w:r>
            <w:proofErr w:type="gramStart"/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底创新</w:t>
            </w:r>
            <w:proofErr w:type="gramEnd"/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战略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领导“下一跨越”项目，将中</w:t>
            </w: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底材料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从化石燃料基聚合物转向可持续生物基替代品 [3]。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的 SS27 鞋类核心型号必须</w:t>
            </w: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集成新型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生物基中底/外底聚合物 [3]。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2025年Q4 完成首批生物基中底材料性能验证（性能必须对</w:t>
            </w: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标传统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EVA/TPU）。</w:t>
            </w:r>
          </w:p>
        </w:tc>
      </w:tr>
      <w:tr w:rsidR="00206080" w:rsidRPr="00206080" w:rsidTr="002060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产品总监 (PD)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性能标准设定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设定明确、可量化的性能指标，以应对亚洲市场对高回弹技术的挑战 [4, 5]。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旗舰越野跑鞋（竞速型）中底回弹率必须达到 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70%-75%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（采用超临界发泡或氮气注入技术）[4, 5]。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2026年Q2 完成竞速跑鞋中底性能测试并锁定技术。</w:t>
            </w:r>
          </w:p>
        </w:tc>
      </w:tr>
      <w:tr w:rsidR="00206080" w:rsidRPr="00206080" w:rsidTr="002060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SOURCING开发总监 (SD)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鞋底材料采购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采购经认证的回收橡胶和生物基化合物，用于外底和结构补强 [3, 6]。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外底（Outsole）：优先采购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回收橡胶和生物基化合物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[6]；中底（Midsole）：必须通过 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PFAS-free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化学品合</w:t>
            </w: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规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审核 [7]。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2026年Q1 锁定所有鞋底化合物供应商及技术认证。</w:t>
            </w:r>
          </w:p>
        </w:tc>
      </w:tr>
      <w:tr w:rsidR="00206080" w:rsidRPr="00206080" w:rsidTr="002060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SOURCING开发总监 (SD)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鞋面材料采购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采购高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耐用、高透气性的工程网布材料，并确保防水透气膜的合</w:t>
            </w: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规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性 [4, 8]。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鞋面：必须采用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工程编织网布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(例如 </w:t>
            </w:r>
            <w:proofErr w:type="spell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XDiMESH</w:t>
            </w:r>
            <w:proofErr w:type="spell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或同类)，目标提高耐用性和透气性 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+20%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[4]。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2026年Q1 完成所有鞋面工程网布的耐久性测试。</w:t>
            </w:r>
          </w:p>
        </w:tc>
      </w:tr>
      <w:tr w:rsidR="00206080" w:rsidRPr="00206080" w:rsidTr="002060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设计总监 (DD)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设计语言与廓形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鞋类廓</w:t>
            </w: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形必须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体现 </w:t>
            </w:r>
            <w:proofErr w:type="spell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Gorpcore</w:t>
            </w:r>
            <w:proofErr w:type="spell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美学，即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功能性与时尚性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的融合。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借鉴 Salomon XT-6、</w:t>
            </w:r>
            <w:proofErr w:type="spell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Hoka</w:t>
            </w:r>
            <w:proofErr w:type="spell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Bondi/Clifton 的**笨重（Chunky）**而时尚的廓形，将技术细节作为设计亮点 [2]。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2025年Q4 完成 SS27 核心系列设计草图。</w:t>
            </w:r>
          </w:p>
        </w:tc>
      </w:tr>
      <w:tr w:rsidR="00206080" w:rsidRPr="00206080" w:rsidTr="002060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设计总监 (DD)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功能工程设计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在旗舰竞速型号中集成先进的结构部件 [4, 5]。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必须设计并集成 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X形或航空级碳纤维板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[4, 5]，以及具备牵引、制动分区的 </w:t>
            </w:r>
            <w:proofErr w:type="spellStart"/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Vibram</w:t>
            </w:r>
            <w:proofErr w:type="spellEnd"/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 xml:space="preserve">® </w:t>
            </w:r>
            <w:proofErr w:type="spellStart"/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Megagrip</w:t>
            </w:r>
            <w:proofErr w:type="spellEnd"/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 xml:space="preserve"> (4-6mm) 外底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[4, 9]。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2026年Q1 锁定鞋类结构设计定稿。</w:t>
            </w:r>
          </w:p>
        </w:tc>
      </w:tr>
      <w:tr w:rsidR="00206080" w:rsidRPr="00206080" w:rsidTr="002060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设计总监 (DD)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配色与区域适应性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确保核心色彩应用，并针对高增长亚太市场进行版型调整 [1, 10]。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核心配色：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主体采用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光感蓝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陶土色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和柔和中性色 [1, 11]；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高能点缀：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在高可见度跑鞋上使用活力橙、</w:t>
            </w:r>
            <w:proofErr w:type="gram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流行粉</w:t>
            </w:r>
            <w:proofErr w:type="gram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[1]。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版型：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必须提供</w:t>
            </w:r>
            <w:r w:rsidRPr="00206080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宽脚趾箱</w:t>
            </w: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选项（受 </w:t>
            </w:r>
            <w:proofErr w:type="spellStart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Altra</w:t>
            </w:r>
            <w:proofErr w:type="spellEnd"/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影响）[10, 12]。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6080" w:rsidRPr="00206080" w:rsidRDefault="00206080" w:rsidP="00206080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206080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2026年Q1 完成所有颜色样品的批准及亚太市场鞋楦调整。</w:t>
            </w:r>
          </w:p>
        </w:tc>
      </w:tr>
    </w:tbl>
    <w:p w:rsidR="00E34E74" w:rsidRPr="00206080" w:rsidRDefault="00206080">
      <w:bookmarkStart w:id="0" w:name="_GoBack"/>
      <w:bookmarkEnd w:id="0"/>
    </w:p>
    <w:sectPr w:rsidR="00E34E74" w:rsidRPr="002060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4D"/>
    <w:rsid w:val="00206080"/>
    <w:rsid w:val="003A2C4D"/>
    <w:rsid w:val="00965E42"/>
    <w:rsid w:val="00C1593F"/>
    <w:rsid w:val="00C7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C689E-4112-42D4-8CEE-DB9E1135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0608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06080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2060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56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 Zhang</dc:creator>
  <cp:keywords/>
  <dc:description/>
  <cp:lastModifiedBy>Rudolph Zhang</cp:lastModifiedBy>
  <cp:revision>2</cp:revision>
  <dcterms:created xsi:type="dcterms:W3CDTF">2025-10-28T03:00:00Z</dcterms:created>
  <dcterms:modified xsi:type="dcterms:W3CDTF">2025-10-28T03:00:00Z</dcterms:modified>
</cp:coreProperties>
</file>