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Navrangpura Police Station, Ahmedabad</w:t>
      </w:r>
    </w:p>
    <w:p>
      <w:pPr>
        <w:jc w:val="center"/>
      </w:pPr>
      <w:r>
        <w:rPr>
          <w:color w:val="9CA3AF"/>
          <w:sz w:val="18"/>
        </w:rPr>
        <w:t>_________________________________________________________________________________</w:t>
      </w:r>
    </w:p>
    <w:p>
      <w:pPr>
        <w:jc w:val="center"/>
      </w:pPr>
      <w:r>
        <w:rPr>
          <w:rFonts w:ascii="Arial" w:hAnsi="Arial"/>
          <w:b/>
          <w:color w:val="111827"/>
          <w:sz w:val="26"/>
        </w:rPr>
        <w:t>PURVANI CHARGESHEET (SUPPLEMENTARY CHARGE SHEET)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FIR Number: </w:t>
            </w:r>
            <w:r>
              <w:t>101 / 2026</w:t>
            </w:r>
          </w:p>
        </w:tc>
        <w:tc>
          <w:tcPr>
            <w:tcW w:type="dxa" w:w="4320"/>
          </w:tcPr>
          <w:p>
            <w:r>
              <w:rPr>
                <w:b/>
              </w:rPr>
              <w:t xml:space="preserve">Police Station: </w:t>
            </w:r>
            <w:r>
              <w:t>Navrangpura Police Station, Ahmedabad</w:t>
            </w:r>
          </w:p>
        </w:tc>
      </w:tr>
      <w:tr>
        <w:tc>
          <w:tcPr>
            <w:tcW w:type="dxa" w:w="4320"/>
          </w:tcPr>
          <w:p>
            <w:r>
              <w:rPr>
                <w:b/>
              </w:rPr>
              <w:t xml:space="preserve">Crime Category: </w:t>
            </w:r>
            <w:r/>
          </w:p>
        </w:tc>
        <w:tc>
          <w:tcPr>
            <w:tcW w:type="dxa" w:w="4320"/>
          </w:tcPr>
          <w:p>
            <w:r>
              <w:rPr>
                <w:b/>
              </w:rPr>
              <w:t xml:space="preserve">Applicable Sections: </w:t>
            </w:r>
            <w:r>
              <w:t>Section 309 BNS, Section 306 BNS</w:t>
            </w:r>
          </w:p>
        </w:tc>
      </w:tr>
      <w:tr>
        <w:tc>
          <w:tcPr>
            <w:tcW w:type="dxa" w:w="4320"/>
          </w:tcPr>
          <w:p>
            <w:r>
              <w:rPr>
                <w:b/>
              </w:rPr>
              <w:t xml:space="preserve">Accused Name: </w:t>
            </w:r>
            <w:r>
              <w:t>Accused Person</w:t>
            </w:r>
          </w:p>
        </w:tc>
        <w:tc>
          <w:tcPr>
            <w:tcW w:type="dxa" w:w="4320"/>
          </w:tcPr>
          <w:p>
            <w:r>
              <w:rPr>
                <w:b/>
              </w:rPr>
              <w:t xml:space="preserve">Accused Address: </w:t>
            </w:r>
            <w:r>
              <w:t>Station Jurisdiction</w:t>
            </w:r>
          </w:p>
        </w:tc>
      </w:tr>
      <w:tr>
        <w:tc>
          <w:tcPr>
            <w:tcW w:type="dxa" w:w="4320"/>
          </w:tcPr>
          <w:p>
            <w:r>
              <w:rPr>
                <w:b/>
              </w:rPr>
              <w:t xml:space="preserve">Primary Witness: </w:t>
            </w:r>
            <w:r>
              <w:t>Priya Desai</w:t>
            </w:r>
          </w:p>
        </w:tc>
        <w:tc>
          <w:tcPr>
            <w:tcW w:type="dxa" w:w="4320"/>
          </w:tcPr>
          <w:p>
            <w:r>
              <w:rPr>
                <w:b/>
              </w:rPr>
              <w:t xml:space="preserve">Evidence Seized: </w:t>
            </w:r>
            <w:r>
              <w:t>One (1) Black Electronic Device / Sealed Seizure Parcel with Official Paper Slip</w:t>
            </w:r>
          </w:p>
        </w:tc>
      </w:tr>
    </w:tbl>
    <w:p>
      <w:pPr>
        <w:spacing w:before="240"/>
      </w:pPr>
      <w:r>
        <w:rPr>
          <w:b/>
        </w:rPr>
        <w:t>1. INVESTIGATION SUMMARY &amp; FACTS:</w:t>
        <w:br/>
      </w:r>
      <w:r>
        <w:t>On the date of , at approximately , an incident of robbery was reported by the victim, Mr./Ms. [Victim's Name]. The victim informed that while he/she was walking alone on the street near his/her residence, a male individual approached him/her from behind and snatched a bag containing cash and other personal belongings without any form of resistance or confrontation. The suspect fled the scene in an  direction after the robbery. The victim reported this incident to the local police station immediately upon realizing that he/she had been robbed.</w:t>
        <w:br/>
        <w:br/>
      </w:r>
    </w:p>
    <w:p>
      <w:r>
        <w:rPr>
          <w:b/>
        </w:rPr>
        <w:t>2. SUPPLEMENTARY CHARGE GROUNDS:</w:t>
        <w:br/>
      </w:r>
      <w:r>
        <w:t>The investigation into this case is ongoing, with the primary focus on identifying and apprehending the perpetrator who committed the act of robbery. Any information or leads concerning the identity of the suspect should be provided to the investigating officers at the earliest convenience.</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Navrangpura Police Station, Ahmedabad</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