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11827"/>
          <w:sz w:val="22"/>
        </w:rPr>
        <w:t>GOVERNMENT OF INDIA</w:t>
        <w:br/>
        <w:t>STATE POLICE DEPARTMENT</w:t>
      </w:r>
    </w:p>
    <w:p>
      <w:pPr>
        <w:jc w:val="center"/>
      </w:pPr>
      <w:r>
        <w:rPr>
          <w:rFonts w:ascii="Arial" w:hAnsi="Arial"/>
          <w:b/>
          <w:color w:val="374151"/>
          <w:sz w:val="20"/>
        </w:rPr>
        <w:t>Navrangpura Police Station, Ahmedabad</w:t>
      </w:r>
    </w:p>
    <w:p>
      <w:pPr>
        <w:jc w:val="center"/>
      </w:pPr>
      <w:r>
        <w:rPr>
          <w:color w:val="9CA3AF"/>
          <w:sz w:val="18"/>
        </w:rPr>
        <w:t>_________________________________________________________________________________</w:t>
      </w:r>
    </w:p>
    <w:p>
      <w:pPr>
        <w:jc w:val="center"/>
      </w:pPr>
      <w:r>
        <w:rPr>
          <w:rFonts w:ascii="Arial" w:hAnsi="Arial"/>
          <w:b/>
          <w:color w:val="111827"/>
          <w:sz w:val="26"/>
        </w:rPr>
        <w:t>APPLICATION FOR POLICE / JUDICIAL REMAND CUSTODY</w:t>
      </w:r>
    </w:p>
    <w:p>
      <w:pPr>
        <w:spacing w:before="200"/>
      </w:pPr>
      <w:r>
        <w:rPr>
          <w:b/>
        </w:rPr>
        <w:t>IN THE COURT OF THE HON'BLE JUDICIAL MAGISTRATE</w:t>
        <w:br/>
      </w:r>
      <w:r>
        <w:t>Hon'ble Judicial Magistrate First Class Court, District Sessions Court</w:t>
        <w:br/>
        <w:br/>
      </w:r>
    </w:p>
    <w:p>
      <w:r>
        <w:rPr>
          <w:b/>
        </w:rPr>
        <w:t xml:space="preserve">SUBJECT: </w:t>
      </w:r>
      <w:r>
        <w:t>Application for Police Remand Custody of Accused Accused Person for 7 Days.</w:t>
        <w:br/>
      </w:r>
      <w:r>
        <w:rPr>
          <w:b/>
        </w:rPr>
        <w:t xml:space="preserve">REF: </w:t>
      </w:r>
      <w:r>
        <w:t>FIR No. 101 / 2026, Police Station: Navrangpura Police Station, Ahmedabad, u/s Section 309 BNS, Section 306 BNS</w:t>
        <w:br/>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4320"/>
        <w:gridCol w:w="4320"/>
      </w:tblGrid>
      <w:tr>
        <w:tc>
          <w:tcPr>
            <w:tcW w:type="dxa" w:w="4320"/>
          </w:tcPr>
          <w:p>
            <w:r>
              <w:rPr>
                <w:b/>
              </w:rPr>
              <w:t xml:space="preserve">Accused Name: </w:t>
            </w:r>
            <w:r>
              <w:t>Accused Person</w:t>
            </w:r>
          </w:p>
        </w:tc>
        <w:tc>
          <w:tcPr>
            <w:tcW w:type="dxa" w:w="4320"/>
          </w:tcPr>
          <w:p>
            <w:r>
              <w:rPr>
                <w:b/>
              </w:rPr>
              <w:t xml:space="preserve">Age / Gender: </w:t>
            </w:r>
            <w:r>
              <w:t>30 / Male</w:t>
            </w:r>
          </w:p>
        </w:tc>
      </w:tr>
      <w:tr>
        <w:tc>
          <w:tcPr>
            <w:tcW w:type="dxa" w:w="4320"/>
          </w:tcPr>
          <w:p>
            <w:r>
              <w:rPr>
                <w:b/>
              </w:rPr>
              <w:t xml:space="preserve">Address: </w:t>
            </w:r>
            <w:r>
              <w:t>Station Jurisdiction</w:t>
            </w:r>
          </w:p>
        </w:tc>
        <w:tc>
          <w:tcPr>
            <w:tcW w:type="dxa" w:w="4320"/>
          </w:tcPr>
          <w:p>
            <w:r>
              <w:rPr>
                <w:b/>
              </w:rPr>
              <w:t xml:space="preserve">Mobile Number: </w:t>
            </w:r>
            <w:r/>
          </w:p>
        </w:tc>
      </w:tr>
      <w:tr>
        <w:tc>
          <w:tcPr>
            <w:tcW w:type="dxa" w:w="4320"/>
          </w:tcPr>
          <w:p>
            <w:r>
              <w:rPr>
                <w:b/>
              </w:rPr>
              <w:t xml:space="preserve">Remand Period: </w:t>
            </w:r>
            <w:r>
              <w:t>2026-07-23 to 2026-07-23</w:t>
            </w:r>
          </w:p>
        </w:tc>
        <w:tc>
          <w:tcPr>
            <w:tcW w:type="dxa" w:w="4320"/>
          </w:tcPr>
          <w:p>
            <w:r>
              <w:rPr>
                <w:b/>
              </w:rPr>
              <w:t xml:space="preserve">Custody Location: </w:t>
            </w:r>
            <w:r>
              <w:t>District Central Jail</w:t>
            </w:r>
          </w:p>
        </w:tc>
      </w:tr>
    </w:tbl>
    <w:p>
      <w:pPr>
        <w:spacing w:before="240"/>
      </w:pPr>
      <w:r>
        <w:rPr>
          <w:b/>
        </w:rPr>
        <w:t>1. GROUND FOR REMAND (PRIMARY):</w:t>
        <w:br/>
      </w:r>
      <w:r>
        <w:t>On the morning of [Date], the victim, identified as Mr./Ms. [Victim's Name], residing at [Victim's Address], reported a robbery incident to the local police station. The crime occurred within his/her residence at approximately [Time of Incident]. Upon arrival, it was observed that there were signs of forced entry on the front door and glass breakage in the windows. Mr./Ms. [Victim's Name] informed the officers that an individual wearing a mask approached him/her while under the influence of alcohol, demanding money from his/her possession. The assailant then fled the scene without any visible means of transportation. Upon searching the residence, no other items were found to have been taken except for cash and personal belongings.</w:t>
        <w:br/>
        <w:br/>
      </w:r>
    </w:p>
    <w:p>
      <w:r>
        <w:rPr>
          <w:b/>
        </w:rPr>
        <w:t>2. GROUND FOR REMAND (SECONDARY):</w:t>
        <w:br/>
      </w:r>
      <w:r>
        <w:t>During the investigation, a surveillance camera located in the vicinity captured footage of an individual matching the description provided by Mr./Ms. [Victim's Name]. The suspect was seen entering the victim’s residence at approximately [Time of Incident] wearing a dark-colored mask with reflective strips and carrying a bag that appeared to be used for hiding stolen items. The surveillance video also showed the suspect leaving the scene in an  vehicle, which has not yet been identified by the police. Further inquiries are ongoing to identify this individual.</w:t>
        <w:br/>
        <w:br/>
      </w:r>
    </w:p>
    <w:p>
      <w:r>
        <w:rPr>
          <w:b/>
        </w:rPr>
        <w:t>3. COURT ORDER DETAILS:</w:t>
        <w:br/>
      </w:r>
      <w:r>
        <w:t>Orders of Judicial Magistrate</w:t>
      </w:r>
    </w:p>
    <w:p>
      <w:pPr>
        <w:spacing w:before="480"/>
        <w:jc w:val="right"/>
      </w:pPr>
      <w:r>
        <w:rPr>
          <w:rFonts w:ascii="Arial" w:hAnsi="Arial"/>
          <w:sz w:val="20"/>
        </w:rPr>
        <w:t>Submitted By,</w:t>
        <w:br/>
        <w:br/>
        <w:br/>
        <w:t>________________________________________</w:t>
        <w:br/>
      </w:r>
      <w:r>
        <w:rPr>
          <w:rFonts w:ascii="Arial" w:hAnsi="Arial"/>
          <w:b/>
          <w:sz w:val="20"/>
        </w:rPr>
        <w:t>Inspector</w:t>
        <w:br/>
      </w:r>
      <w:r>
        <w:rPr>
          <w:rFonts w:ascii="Arial" w:hAnsi="Arial"/>
          <w:color w:val="4B5563"/>
          <w:sz w:val="18"/>
        </w:rPr>
        <w:t>POLICE_OFFICER</w:t>
        <w:br/>
        <w:t>Navrangpura Police Station, Ahmedabad</w:t>
        <w:br/>
        <w:t>Date: 2026-07-23</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