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Maninagar Police Station</w:t>
      </w:r>
    </w:p>
    <w:p>
      <w:pPr>
        <w:jc w:val="center"/>
      </w:pPr>
      <w:r>
        <w:rPr>
          <w:color w:val="9CA3AF"/>
          <w:sz w:val="18"/>
        </w:rPr>
        <w:t>_________________________________________________________________________________</w:t>
      </w:r>
    </w:p>
    <w:p>
      <w:pPr>
        <w:jc w:val="center"/>
      </w:pPr>
      <w:r>
        <w:rPr>
          <w:rFonts w:ascii="Arial" w:hAnsi="Arial"/>
          <w:b/>
          <w:color w:val="111827"/>
          <w:sz w:val="26"/>
        </w:rPr>
        <w:t>MEMORANDUM OF COURT CUSTODY TRANSFER</w:t>
      </w:r>
    </w:p>
    <w:p>
      <w:pPr>
        <w:spacing w:before="200"/>
      </w:pPr>
      <w:r>
        <w:rPr>
          <w:b/>
        </w:rPr>
        <w:t>To,</w:t>
        <w:br/>
        <w:t>The Superintendent of Jail,</w:t>
        <w:br/>
      </w:r>
      <w:r>
        <w:t>Ahmedabad Police Custody Centre</w:t>
        <w:br/>
        <w:br/>
      </w:r>
    </w:p>
    <w:p>
      <w:r>
        <w:rPr>
          <w:b/>
        </w:rPr>
        <w:t xml:space="preserve">SUBJECT: </w:t>
      </w:r>
      <w:r>
        <w:t>Transfer of Accused Person to Judicial Custody.</w:t>
        <w:br/>
      </w:r>
      <w:r>
        <w:rPr>
          <w:b/>
        </w:rPr>
        <w:t xml:space="preserve">REF: </w:t>
      </w:r>
      <w:r>
        <w:t>FIR No. 105 / 2026, u/s Section 319 BNS, Section 318 BNS</w:t>
        <w:br/>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20"/>
        <w:gridCol w:w="4320"/>
      </w:tblGrid>
      <w:tr>
        <w:tc>
          <w:tcPr>
            <w:tcW w:type="dxa" w:w="4320"/>
          </w:tcPr>
          <w:p>
            <w:r>
              <w:rPr>
                <w:b/>
              </w:rPr>
              <w:t xml:space="preserve">Accused Name: </w:t>
            </w:r>
            <w:r>
              <w:t>Accused Person</w:t>
            </w:r>
          </w:p>
        </w:tc>
        <w:tc>
          <w:tcPr>
            <w:tcW w:type="dxa" w:w="4320"/>
          </w:tcPr>
          <w:p>
            <w:r>
              <w:rPr>
                <w:b/>
              </w:rPr>
              <w:t xml:space="preserve">Age / Gender: </w:t>
            </w:r>
            <w:r>
              <w:t>30 / Male</w:t>
            </w:r>
          </w:p>
        </w:tc>
      </w:tr>
      <w:tr>
        <w:tc>
          <w:tcPr>
            <w:tcW w:type="dxa" w:w="4320"/>
          </w:tcPr>
          <w:p>
            <w:r>
              <w:rPr>
                <w:b/>
              </w:rPr>
              <w:t xml:space="preserve">Address: </w:t>
            </w:r>
            <w:r>
              <w:t>Station Jurisdiction</w:t>
            </w:r>
          </w:p>
        </w:tc>
        <w:tc>
          <w:tcPr>
            <w:tcW w:type="dxa" w:w="4320"/>
          </w:tcPr>
          <w:p>
            <w:r>
              <w:rPr>
                <w:b/>
              </w:rPr>
              <w:t xml:space="preserve">Mobile Number: </w:t>
            </w:r>
            <w:r/>
          </w:p>
        </w:tc>
      </w:tr>
      <w:tr>
        <w:tc>
          <w:tcPr>
            <w:tcW w:type="dxa" w:w="4320"/>
          </w:tcPr>
          <w:p>
            <w:r>
              <w:rPr>
                <w:b/>
              </w:rPr>
              <w:t xml:space="preserve">Court Order: </w:t>
            </w:r>
            <w:r>
              <w:t>Accused granted police custody for investigation of financial transactions and recovery of cheated amount.</w:t>
            </w:r>
          </w:p>
        </w:tc>
        <w:tc>
          <w:tcPr>
            <w:tcW w:type="dxa" w:w="4320"/>
          </w:tcPr>
          <w:p>
            <w:r>
              <w:rPr>
                <w:b/>
              </w:rPr>
              <w:t xml:space="preserve">Judge: </w:t>
            </w:r>
            <w:r>
              <w:t>Judicial Magistrate First Class</w:t>
            </w:r>
          </w:p>
        </w:tc>
      </w:tr>
    </w:tbl>
    <w:p>
      <w:pPr>
        <w:spacing w:before="240"/>
      </w:pPr>
      <w:r>
        <w:rPr>
          <w:b/>
        </w:rPr>
        <w:t>CASE BRIEF FACTS:</w:t>
        <w:br/>
      </w:r>
      <w:r>
        <w:t>On [Date of Incident], the complainant reported to the police that they had been subjected to cyber fraud involving unauthorized access to their personal banking and financial information through an online banking platform. The complainant stated that a fraudulent email was received, which contained a link directing them to a fake website where they were prompted to enter their login credentials for their bank account. Upon entering these details, the complainant noticed discrepancies in their account balances and transactions, leading to suspicions of unauthorized access. They reported this incident immediately upon realizing the potential severity of the situation.</w:t>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Maninagar Police Station</w:t>
        <w:br/>
        <w:t>Date: 2026-07-23</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