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APPLICATION FOR POLICE / JUDICIAL REMAND CUSTODY</w:t>
      </w:r>
    </w:p>
    <w:p>
      <w:pPr>
        <w:spacing w:before="200"/>
      </w:pPr>
      <w:r>
        <w:rPr>
          <w:b/>
        </w:rPr>
        <w:t>IN THE COURT OF THE HON'BLE JUDICIAL MAGISTRATE</w:t>
        <w:br/>
      </w:r>
      <w:r>
        <w:t>Hon'ble Judicial Magistrate First Class Court, Ahmedabad, Ahmedabad District Court Complex</w:t>
        <w:br/>
        <w:br/>
      </w:r>
    </w:p>
    <w:p>
      <w:r>
        <w:rPr>
          <w:b/>
        </w:rPr>
        <w:t xml:space="preserve">SUBJECT: </w:t>
      </w:r>
      <w:r>
        <w:t>Application for Police Remand Custody of Accused Accused Person for 3 Days.</w:t>
        <w:br/>
      </w:r>
      <w:r>
        <w:rPr>
          <w:b/>
        </w:rPr>
        <w:t xml:space="preserve">REF: </w:t>
      </w:r>
      <w:r>
        <w:t>FIR No. 105 / 2026, Police Station: Maninagar Police Station, u/s Section 319 BNS, Section 318 BNS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Accused Name: </w:t>
            </w:r>
            <w:r>
              <w:t>Accused Person</w:t>
            </w:r>
          </w:p>
        </w:tc>
        <w:tc>
          <w:tcPr>
            <w:tcW w:type="dxa" w:w="4320"/>
          </w:tcPr>
          <w:p>
            <w:r>
              <w:rPr>
                <w:b/>
              </w:rPr>
              <w:t xml:space="preserve">Age / Gender: </w:t>
            </w:r>
            <w:r>
              <w:t>30 / Male</w:t>
            </w:r>
          </w:p>
        </w:tc>
      </w:tr>
      <w:tr>
        <w:tc>
          <w:tcPr>
            <w:tcW w:type="dxa" w:w="4320"/>
          </w:tcPr>
          <w:p>
            <w:r>
              <w:rPr>
                <w:b/>
              </w:rPr>
              <w:t xml:space="preserve">Address: </w:t>
            </w:r>
            <w:r>
              <w:t>Station Jurisdiction</w:t>
            </w:r>
          </w:p>
        </w:tc>
        <w:tc>
          <w:tcPr>
            <w:tcW w:type="dxa" w:w="4320"/>
          </w:tcPr>
          <w:p>
            <w:r>
              <w:rPr>
                <w:b/>
              </w:rPr>
              <w:t xml:space="preserve">Mobile Number: </w:t>
            </w:r>
            <w:r/>
          </w:p>
        </w:tc>
      </w:tr>
      <w:tr>
        <w:tc>
          <w:tcPr>
            <w:tcW w:type="dxa" w:w="4320"/>
          </w:tcPr>
          <w:p>
            <w:r>
              <w:rPr>
                <w:b/>
              </w:rPr>
              <w:t xml:space="preserve">Remand Period: </w:t>
            </w:r>
            <w:r>
              <w:t>2026-07-27 to 2026-07-30</w:t>
            </w:r>
          </w:p>
        </w:tc>
        <w:tc>
          <w:tcPr>
            <w:tcW w:type="dxa" w:w="4320"/>
          </w:tcPr>
          <w:p>
            <w:r>
              <w:rPr>
                <w:b/>
              </w:rPr>
              <w:t xml:space="preserve">Custody Location: </w:t>
            </w:r>
            <w:r>
              <w:t>Ahmedabad Police Custody Centre</w:t>
            </w:r>
          </w:p>
        </w:tc>
      </w:tr>
    </w:tbl>
    <w:p>
      <w:pPr>
        <w:spacing w:before="240"/>
      </w:pPr>
      <w:r>
        <w:rPr>
          <w:b/>
        </w:rPr>
        <w:t>1. GROUND FOR REMAND (PRIMARY):</w:t>
        <w:br/>
      </w:r>
      <w:r>
        <w:t>On [Date of Incident], at approximately [Time of Incident], an individual named [Victim's Name] reported to the police station that they had been a victim of cyber fraud involving their personal and financial information. The victim stated that they received an email from what appeared to be a legitimate company, which contained a link directing them to a fraudulent website designed to mimic the official site. Upon entering their login credentials on this fake site, the victim discovered unauthorized transactions totaling [Amount] in their bank account. They further reported that after reporting the incident to the alleged sender of the email and attempting to contact the real company for assistance, they received no response or acknowledgment.</w:t>
        <w:br/>
        <w:br/>
      </w:r>
    </w:p>
    <w:p>
      <w:r>
        <w:rPr>
          <w:b/>
        </w:rPr>
        <w:t>2. GROUND FOR REMAND (SECONDARY):</w:t>
        <w:br/>
      </w:r>
      <w:r>
        <w:t>Upon investigation, it was found that the fraudulent website utilized sophisticated phishing techniques designed to mimic legitimate corporate sites, including logos, banners, and other visual elements. The cyber fraudster likely obtained the victim's personal information through a data breach at another entity, as evidenced by discrepancies in account details such as address and date of birth which matched those previously provided during previous transactions with the real company. Additionally, forensic analysis revealed that the fraudulent website was hosted on servers located outside of India, complicating jurisdictional issues for further investigation.</w:t>
        <w:br/>
        <w:br/>
      </w:r>
    </w:p>
    <w:p>
      <w:r>
        <w:rPr>
          <w:b/>
        </w:rPr>
        <w:t>3. COURT ORDER DETAILS:</w:t>
        <w:br/>
      </w:r>
      <w:r>
        <w:t>Accused granted police custody for investigation of financial transactions and recovery of cheated amount.</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