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Student Placement Prediction System</w:t>
      </w:r>
    </w:p>
    <w:p>
      <w:pPr>
        <w:spacing w:after="40"/>
        <w:jc w:val="center"/>
      </w:pPr>
      <w:r>
        <w:rPr>
          <w:color w:val="44546A"/>
          <w:sz w:val="28"/>
          <w:szCs w:val="28"/>
        </w:rPr>
        <w:t xml:space="preserve">End-to-End ML Project Report</w:t>
      </w:r>
    </w:p>
    <w:p>
      <w:pPr>
        <w:spacing w:after="300"/>
        <w:jc w:val="center"/>
      </w:pPr>
      <w:r>
        <w:rPr>
          <w:i/>
          <w:iCs/>
          <w:color w:val="808080"/>
          <w:sz w:val="20"/>
          <w:szCs w:val="20"/>
        </w:rPr>
        <w:t xml:space="preserve">Dataset: indian_student_placements_v2.csv  |  12,000 students, 59 features</w:t>
      </w:r>
    </w:p>
    <w:p>
      <w:pPr>
        <w:pStyle w:val="Heading1"/>
        <w:spacing w:after="80" w:before="160"/>
      </w:pPr>
      <w:r>
        <w:t xml:space="preserve">1. Problem</w:t>
      </w:r>
    </w:p>
    <w:p>
      <w:pPr>
        <w:spacing w:after="90"/>
      </w:pPr>
      <w:r>
        <w:rPr>
          <w:sz w:val="20"/>
          <w:szCs w:val="20"/>
        </w:rPr>
        <w:t xml:space="preserve">College placement cells need to identify, ahead of placement season, which final-year students are at risk of not receiving an offer, so limited coaching and mentoring resources can be targeted effectively. This project builds a supervised classification model that predicts Placement_Status (Placed / Not Placed) from a student's academic record, skills, internship history and preparation activity — explicitly excluding any field that is only known after a student is already placed (offered CTC, hiring company, job location), to keep the model usable proactively and avoid data leakage.</w:t>
      </w:r>
    </w:p>
    <w:p>
      <w:pPr>
        <w:pStyle w:val="Heading1"/>
        <w:spacing w:after="80" w:before="160"/>
      </w:pPr>
      <w:r>
        <w:t xml:space="preserve">2. Approach</w:t>
      </w:r>
    </w:p>
    <w:p>
      <w:pPr>
        <w:pStyle w:val="Heading2"/>
        <w:spacing w:after="60" w:before="100"/>
      </w:pPr>
      <w:r>
        <w:t xml:space="preserve">2.1 Data Understanding &amp; EDA</w:t>
      </w:r>
    </w:p>
    <w:p>
      <w:pPr>
        <w:spacing w:after="90"/>
      </w:pPr>
      <w:r>
        <w:rPr>
          <w:sz w:val="20"/>
          <w:szCs w:val="20"/>
        </w:rPr>
        <w:t xml:space="preserve">The raw dataset has 12,000 rows and 59 columns with light, evenly-spread missingness (~3-5% per column, consistent with random missingness) except Internship_Company (missing for the ~51% of students with no internship). The target is imbalanced: 89.9% Placed vs 10.1% Not Placed, which rules out Accuracy as a standalone metric and motivated class-weighted training. Placement rate is stable across Department, Gender and Family Income Band (88-91%), showing no strong demographic bias in the data — placement is driven by individual readiness, not background.</w:t>
      </w:r>
    </w:p>
    <w:p>
      <w:pPr>
        <w:spacing w:after="20" w:before="60"/>
        <w:jc w:val="center"/>
      </w:pPr>
      <w:r>
        <w:drawing>
          <wp:inline distT="0" distB="0" distL="0" distR="0">
            <wp:extent cx="409575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16"/>
          <w:szCs w:val="16"/>
        </w:rPr>
        <w:t xml:space="preserve">Figure 1 — Target class distribution: ~90% Placed vs ~10% Not Placed (class imbalance).</w:t>
      </w:r>
    </w:p>
    <w:p>
      <w:pPr>
        <w:spacing w:after="20" w:before="60"/>
        <w:jc w:val="center"/>
      </w:pPr>
      <w:r>
        <w:drawing>
          <wp:inline distT="0" distB="0" distL="0" distR="0">
            <wp:extent cx="40957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16"/>
          <w:szCs w:val="16"/>
        </w:rPr>
        <w:t xml:space="preserve">Figure 2 — Placed students show visibly higher CGPA, skill scores, resume scores and prep activity than Not Placed students.</w:t>
      </w:r>
    </w:p>
    <w:p>
      <w:pPr>
        <w:spacing w:after="20" w:before="60"/>
        <w:jc w:val="center"/>
      </w:pPr>
      <w:r>
        <w:drawing>
          <wp:inline distT="0" distB="0" distL="0" distR="0">
            <wp:extent cx="409575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16"/>
          <w:szCs w:val="16"/>
        </w:rPr>
        <w:t xml:space="preserve">Figure 3 — Correlation heatmap across numeric features; no single feature dominates, supporting an ensemble approach.</w:t>
      </w:r>
    </w:p>
    <w:p>
      <w:pPr>
        <w:pStyle w:val="Heading2"/>
        <w:spacing w:after="60" w:before="100"/>
      </w:pPr>
      <w:r>
        <w:t xml:space="preserve">2.2 Preprocessing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Dropped leakage columns (CTC_Offered_INR, Placement_Company, Job_Location, Is_Core_Job) and identifiers (Student_ID, Student_Name).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Dropped high-cardinality columns (Home_City: 519 unique values, College_Name: 102) for this baseline; noted as a target-encoding opportunity for future iterations.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Converted Internship_Company into a low-cardinality Had_Named_Internship flag.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Numeric columns: median imputation + StandardScaler. Categorical columns: most-frequent imputation + One-Hot Encoding. Both wrapped in a single sklearn ColumnTransformer / Pipeline so training and the Streamlit app apply identical preprocessing.</w:t>
      </w:r>
    </w:p>
    <w:p>
      <w:pPr>
        <w:pStyle w:val="Heading2"/>
        <w:spacing w:after="60" w:before="100"/>
      </w:pPr>
      <w:r>
        <w:t xml:space="preserve">2.3 Feature Engineering &amp; Selection</w:t>
      </w:r>
    </w:p>
    <w:p>
      <w:pPr>
        <w:spacing w:after="90"/>
      </w:pPr>
      <w:r>
        <w:rPr>
          <w:sz w:val="20"/>
          <w:szCs w:val="20"/>
        </w:rPr>
        <w:t xml:space="preserve">Two engineered features were added: Overall_Academic_Score (blend of 10th %, 12th % and CGPA) and Readiness_Index (blend of technical, soft-skill, aptitude, resume and communication scores). Random Forest feature importance and a SelectKBest ANOVA F-test were run to rank predictors; both agree that internship PPO status, technical/skills scores, CGPA and interview/resume preparation dominate.</w:t>
      </w:r>
    </w:p>
    <w:p>
      <w:pPr>
        <w:spacing w:after="20" w:before="60"/>
        <w:jc w:val="center"/>
      </w:pPr>
      <w:r>
        <w:drawing>
          <wp:inline distT="0" distB="0" distL="0" distR="0">
            <wp:extent cx="40957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16"/>
          <w:szCs w:val="16"/>
        </w:rPr>
        <w:t xml:space="preserve">Figure 4 — Top 20 features by Random Forest importance.</w:t>
      </w:r>
    </w:p>
    <w:p>
      <w:r>
        <w:br w:type="page"/>
      </w:r>
    </w:p>
    <w:p>
      <w:pPr>
        <w:pStyle w:val="Heading1"/>
        <w:spacing w:after="80" w:before="160"/>
      </w:pPr>
      <w:r>
        <w:t xml:space="preserve">3. Model Comparison</w:t>
      </w:r>
    </w:p>
    <w:p>
      <w:pPr>
        <w:spacing w:after="90"/>
      </w:pPr>
      <w:r>
        <w:rPr>
          <w:sz w:val="20"/>
          <w:szCs w:val="20"/>
        </w:rPr>
        <w:t xml:space="preserve">Three required models — Logistic Regression, Decision Tree and Random Forest — were trained inside identical preprocessing pipelines, each using class_weight='balanced' to counter the 90/10 imbalance (SMOTE was considered but the imbalanced-learn package was unavailable in this offline build environment; class_weight is the scikit-learn-native equivalent).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spacing w:after="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shd w:fill="1F4E79" w:val="clear"/>
          </w:tcPr>
          <w:p>
            <w:pPr>
              <w:spacing w:after="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shd w:fill="1F4E79" w:val="clear"/>
          </w:tcPr>
          <w:p>
            <w:pPr>
              <w:spacing w:after="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shd w:fill="1F4E79" w:val="clear"/>
          </w:tcPr>
          <w:p>
            <w:pPr>
              <w:spacing w:after="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shd w:fill="1F4E79" w:val="clear"/>
          </w:tcPr>
          <w:p>
            <w:pPr>
              <w:spacing w:after="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 Score</w:t>
            </w:r>
          </w:p>
        </w:tc>
        <w:tc>
          <w:tcPr>
            <w:shd w:fill="1F4E79" w:val="clear"/>
          </w:tcPr>
          <w:p>
            <w:pPr>
              <w:spacing w:after="9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</w:tr>
      <w:tr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0.9412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0.9951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0.9393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0.9664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0.9895</w:t>
            </w:r>
          </w:p>
        </w:tc>
      </w:tr>
      <w:tr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Decision Tree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0.9625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0.9891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0.9689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0.9789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0.9125</w:t>
            </w:r>
          </w:p>
        </w:tc>
      </w:tr>
      <w:tr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Random Forest (baseline)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0.9546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0.9576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0.9935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0.9752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0.9866</w:t>
            </w:r>
          </w:p>
        </w:tc>
      </w:tr>
      <w:tr>
        <w:tc>
          <w:tcPr>
            <w:shd w:fill="E2EFDA" w:val="clear"/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Random Forest (tuned) — FINAL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0.9617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0.9708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0.9870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0.9789</w:t>
            </w:r>
          </w:p>
        </w:tc>
        <w:tc>
          <w:p>
            <w:pPr>
              <w:spacing w:after="9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0.9869</w:t>
            </w:r>
          </w:p>
        </w:tc>
      </w:tr>
    </w:tbl>
    <w:p>
      <w:pPr>
        <w:spacing w:after="160"/>
      </w:pPr>
    </w:p>
    <w:p>
      <w:pPr>
        <w:spacing w:after="20" w:before="60"/>
        <w:jc w:val="center"/>
      </w:pPr>
      <w:r>
        <w:drawing>
          <wp:inline distT="0" distB="0" distL="0" distR="0">
            <wp:extent cx="409575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16"/>
          <w:szCs w:val="16"/>
        </w:rPr>
        <w:t xml:space="preserve">Figure 5 — Accuracy, Precision, Recall, F1 and ROC-AUC across all three baseline models.</w:t>
      </w:r>
    </w:p>
    <w:p>
      <w:pPr>
        <w:spacing w:after="20" w:before="60"/>
        <w:jc w:val="center"/>
      </w:pPr>
      <w:r>
        <w:drawing>
          <wp:inline distT="0" distB="0" distL="0" distR="0">
            <wp:extent cx="4095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16"/>
          <w:szCs w:val="16"/>
        </w:rPr>
        <w:t xml:space="preserve">Figure 6 — ROC curves; Random Forest and Logistic Regression achieve the highest AUC.</w:t>
      </w:r>
    </w:p>
    <w:p>
      <w:pPr>
        <w:spacing w:after="20" w:before="60"/>
        <w:jc w:val="center"/>
      </w:pPr>
      <w:r>
        <w:drawing>
          <wp:inline distT="0" distB="0" distL="0" distR="0">
            <wp:extent cx="409575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16"/>
          <w:szCs w:val="16"/>
        </w:rPr>
        <w:t xml:space="preserve">Figure 7 — Confusion matrices on the held-out test set (2,400 students).</w:t>
      </w:r>
    </w:p>
    <w:p>
      <w:pPr>
        <w:spacing w:after="90"/>
      </w:pPr>
      <w:r>
        <w:rPr>
          <w:sz w:val="20"/>
          <w:szCs w:val="20"/>
        </w:rPr>
        <w:t xml:space="preserve">Random Forest was selected as the best-performing model: it achieves the highest Recall (99.35%) and ROC-AUC (98.66%) on the baseline pass, which matters most for this use case, since missing an at-risk "Not Placed" student (a false negative) is the costlier error for a placement cell to make. It also generalises better than a single Decision Tree (lower variance across folds).</w:t>
      </w:r>
    </w:p>
    <w:p>
      <w:pPr>
        <w:pStyle w:val="Heading1"/>
        <w:spacing w:after="80" w:before="160"/>
      </w:pPr>
      <w:r>
        <w:t xml:space="preserve">4. Model Optimization</w:t>
      </w:r>
    </w:p>
    <w:p>
      <w:pPr>
        <w:spacing w:after="90"/>
      </w:pPr>
      <w:r>
        <w:rPr>
          <w:sz w:val="20"/>
          <w:szCs w:val="20"/>
        </w:rPr>
        <w:t xml:space="preserve">RandomizedSearchCV (20 iterations, 5-fold stratified cross-validation, optimizing F1) tuned n_estimators, max_depth, min_samples_split, min_samples_leaf and max_features.</w:t>
      </w:r>
    </w:p>
    <w:p>
      <w:pPr>
        <w:spacing w:after="20" w:before="60"/>
        <w:jc w:val="center"/>
      </w:pPr>
      <w:r>
        <w:drawing>
          <wp:inline distT="0" distB="0" distL="0" distR="0">
            <wp:extent cx="40957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16"/>
          <w:szCs w:val="16"/>
        </w:rPr>
        <w:t xml:space="preserve">Figure 8 — Baseline vs tuned Random Forest on the held-out test set.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48235" w:val="clear"/>
          </w:tcPr>
          <w:p>
            <w:pPr>
              <w:spacing w:after="9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548235" w:val="clear"/>
          </w:tcPr>
          <w:p>
            <w:pPr>
              <w:spacing w:after="9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90"/>
            </w:pPr>
            <w:r>
              <w:rPr>
                <w:sz w:val="20"/>
                <w:szCs w:val="20"/>
              </w:rPr>
              <w:t xml:space="preserve">Best parameters</w:t>
            </w:r>
          </w:p>
        </w:tc>
        <w:tc>
          <w:p>
            <w:pPr>
              <w:spacing w:after="90"/>
            </w:pPr>
            <w:r>
              <w:rPr>
                <w:sz w:val="20"/>
                <w:szCs w:val="20"/>
              </w:rPr>
              <w:t xml:space="preserve">n_estimators=200, max_depth=None, min_samples_split=2, min_samples_leaf=2, max_features='sqrt'</w:t>
            </w:r>
          </w:p>
        </w:tc>
      </w:tr>
      <w:tr>
        <w:tc>
          <w:p>
            <w:pPr>
              <w:spacing w:after="90"/>
            </w:pPr>
            <w:r>
              <w:rPr>
                <w:sz w:val="20"/>
                <w:szCs w:val="20"/>
              </w:rPr>
              <w:t xml:space="preserve">Test Accuracy</w:t>
            </w:r>
          </w:p>
        </w:tc>
        <w:tc>
          <w:p>
            <w:pPr>
              <w:spacing w:after="90"/>
            </w:pPr>
            <w:r>
              <w:rPr>
                <w:sz w:val="20"/>
                <w:szCs w:val="20"/>
              </w:rPr>
              <w:t xml:space="preserve">96.17%</w:t>
            </w:r>
          </w:p>
        </w:tc>
      </w:tr>
      <w:tr>
        <w:tc>
          <w:p>
            <w:pPr>
              <w:spacing w:after="90"/>
            </w:pPr>
            <w:r>
              <w:rPr>
                <w:sz w:val="20"/>
                <w:szCs w:val="20"/>
              </w:rPr>
              <w:t xml:space="preserve">Test Precision</w:t>
            </w:r>
          </w:p>
        </w:tc>
        <w:tc>
          <w:p>
            <w:pPr>
              <w:spacing w:after="90"/>
            </w:pPr>
            <w:r>
              <w:rPr>
                <w:sz w:val="20"/>
                <w:szCs w:val="20"/>
              </w:rPr>
              <w:t xml:space="preserve">97.08%</w:t>
            </w:r>
          </w:p>
        </w:tc>
      </w:tr>
      <w:tr>
        <w:tc>
          <w:p>
            <w:pPr>
              <w:spacing w:after="90"/>
            </w:pPr>
            <w:r>
              <w:rPr>
                <w:sz w:val="20"/>
                <w:szCs w:val="20"/>
              </w:rPr>
              <w:t xml:space="preserve">Test Recall</w:t>
            </w:r>
          </w:p>
        </w:tc>
        <w:tc>
          <w:p>
            <w:pPr>
              <w:spacing w:after="90"/>
            </w:pPr>
            <w:r>
              <w:rPr>
                <w:sz w:val="20"/>
                <w:szCs w:val="20"/>
              </w:rPr>
              <w:t xml:space="preserve">98.70%</w:t>
            </w:r>
          </w:p>
        </w:tc>
      </w:tr>
      <w:tr>
        <w:tc>
          <w:p>
            <w:pPr>
              <w:spacing w:after="90"/>
            </w:pPr>
            <w:r>
              <w:rPr>
                <w:sz w:val="20"/>
                <w:szCs w:val="20"/>
              </w:rPr>
              <w:t xml:space="preserve">Test F1 Score</w:t>
            </w:r>
          </w:p>
        </w:tc>
        <w:tc>
          <w:p>
            <w:pPr>
              <w:spacing w:after="90"/>
            </w:pPr>
            <w:r>
              <w:rPr>
                <w:sz w:val="20"/>
                <w:szCs w:val="20"/>
              </w:rPr>
              <w:t xml:space="preserve">97.89%</w:t>
            </w:r>
          </w:p>
        </w:tc>
      </w:tr>
      <w:tr>
        <w:tc>
          <w:p>
            <w:pPr>
              <w:spacing w:after="90"/>
            </w:pPr>
            <w:r>
              <w:rPr>
                <w:sz w:val="20"/>
                <w:szCs w:val="20"/>
              </w:rPr>
              <w:t xml:space="preserve">Test ROC-AUC</w:t>
            </w:r>
          </w:p>
        </w:tc>
        <w:tc>
          <w:p>
            <w:pPr>
              <w:spacing w:after="90"/>
            </w:pPr>
            <w:r>
              <w:rPr>
                <w:sz w:val="20"/>
                <w:szCs w:val="20"/>
              </w:rPr>
              <w:t xml:space="preserve">98.69%</w:t>
            </w:r>
          </w:p>
        </w:tc>
      </w:tr>
    </w:tbl>
    <w:p>
      <w:pPr>
        <w:pStyle w:val="Heading1"/>
        <w:spacing w:after="80" w:before="160"/>
      </w:pPr>
      <w:r>
        <w:t xml:space="preserve">5. Insights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Placement is driven by a combination of moderate signals (skills, academics, internship/prep activity) rather than one dominant factor — no single feature has a strong linear correlation with the outcome, which is why the ensemble model outperforms plain Logistic Regression.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Internship PPO offers, technical skill scores, CGPA/academic score, resume score and mock-interview attendance are consistently the strongest, most actionable predictors — exactly the levers a placement cell can influence with a few months' notice.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Placement rate is stable across gender, department and income band, meaning the model's predictions reflect readiness rather than demographic bias, which is important before deploying this as a decision-support tool.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 ~90/10 class imbalance means overall accuracy is a misleading headline number; Recall/F1 on the "Not Placed" class is the metric that actually matters operationally, and both are strong for the tuned model (98.7% and 97.9% respectively).</w:t>
      </w:r>
    </w:p>
    <w:p>
      <w:pPr>
        <w:pStyle w:val="Heading1"/>
        <w:spacing w:after="80" w:before="160"/>
      </w:pPr>
      <w:r>
        <w:t xml:space="preserve">6. Deployment</w:t>
      </w:r>
    </w:p>
    <w:p>
      <w:pPr>
        <w:spacing w:after="90"/>
      </w:pPr>
      <w:r>
        <w:rPr>
          <w:sz w:val="20"/>
          <w:szCs w:val="20"/>
        </w:rPr>
        <w:t xml:space="preserve">The tuned pipeline (preprocessing + Random Forest) is serialized to model.pkl and served by a Streamlit app (app.py) with a full input form covering academics, skills, internships and background, returning a Placed/Not Placed prediction with a probability score. Deliverables for GitHub + Streamlit Cloud deployment: app.py, model.pkl, feature_schema.json, requirements.txt (streamlit, scikit-learn, pandas, numpy, joblib).</w:t>
      </w:r>
    </w:p>
    <w:p>
      <w:pPr>
        <w:pStyle w:val="Heading1"/>
        <w:spacing w:after="80" w:before="160"/>
      </w:pPr>
      <w:r>
        <w:t xml:space="preserve">7. Conclusion</w:t>
      </w:r>
    </w:p>
    <w:p>
      <w:pPr>
        <w:spacing w:after="90"/>
      </w:pPr>
      <w:r>
        <w:rPr>
          <w:sz w:val="20"/>
          <w:szCs w:val="20"/>
        </w:rPr>
        <w:t xml:space="preserve">The tuned Random Forest pipeline meets the project objective: it predicts placement outcomes with 96.2% accuracy and, more importantly, 98.7% recall and 97.9% F1 on a realistically imbalanced dataset, without using any information that would only be available after a student is already placed. The feature-importance ranking gives placement cells a concrete, prioritised list of levers (skills training, mock interviews, resume quality, internship conversion) to act on, and the Streamlit app turns the model into a tool non-technical staff can use directly.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35caf650f0d60e73b801edc568f82ce86612c6.png"/><Relationship Id="rId8" Type="http://schemas.openxmlformats.org/officeDocument/2006/relationships/image" Target="media/08794fce8142587ea6f80595051de08be532bf90.png"/><Relationship Id="rId9" Type="http://schemas.openxmlformats.org/officeDocument/2006/relationships/image" Target="media/5452c570a268202ededb5332a0bb1c68111777f7.png"/><Relationship Id="rId10" Type="http://schemas.openxmlformats.org/officeDocument/2006/relationships/image" Target="media/2bade289783e3dfea12d9dee955888c89a59e309.png"/><Relationship Id="rId11" Type="http://schemas.openxmlformats.org/officeDocument/2006/relationships/image" Target="media/2d9645ea41a5199e9d7aa3f1a8db72b3254c662c.png"/><Relationship Id="rId12" Type="http://schemas.openxmlformats.org/officeDocument/2006/relationships/image" Target="media/efd3bfb68c5bdb9065afa7acee0d96b64196a745.png"/><Relationship Id="rId13" Type="http://schemas.openxmlformats.org/officeDocument/2006/relationships/image" Target="media/307a3e1b7d8f67c7af7ac861f040bc7c74a666cb.png"/><Relationship Id="rId14" Type="http://schemas.openxmlformats.org/officeDocument/2006/relationships/image" Target="media/70f0414bf13acc69db1de898c5e003dd2214243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2026-07-08T09:21:16.988Z</dcterms:created>
  <dcterms:modified xsi:type="dcterms:W3CDTF">2026-07-08T09:21:16.988Z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