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pPr>
              <w:spacing w:after="40"/>
            </w:pPr>
            <w:r>
              <w:rPr>
                <w:rFonts w:ascii="Arial" w:hAnsi="Arial"/>
                <w:sz w:val="18"/>
              </w:rPr>
              <w:t>PS-1</w:t>
            </w:r>
          </w:p>
        </w:tc>
        <w:tc>
          <w:tcPr/>
          <w:p>
            <w:pPr>
              <w:spacing w:after="40"/>
            </w:pPr>
            <w:r>
              <w:rPr>
                <w:rFonts w:ascii="Arial" w:hAnsi="Arial"/>
                <w:sz w:val="18"/>
              </w:rPr>
              <w:t>A policy analyst or researcher</w:t>
            </w:r>
          </w:p>
        </w:tc>
        <w:tc>
          <w:tcPr/>
          <w:p>
            <w:pPr>
              <w:spacing w:after="40"/>
            </w:pPr>
            <w:r>
              <w:rPr>
                <w:rFonts w:ascii="Arial" w:hAnsi="Arial"/>
                <w:sz w:val="18"/>
              </w:rPr>
              <w:t>compare global fuel prices and taxes across countries and years</w:t>
            </w:r>
          </w:p>
        </w:tc>
        <w:tc>
          <w:tcPr/>
          <w:p>
            <w:pPr>
              <w:spacing w:after="40"/>
            </w:pPr>
            <w:r>
              <w:rPr>
                <w:rFonts w:ascii="Arial" w:hAnsi="Arial"/>
                <w:sz w:val="18"/>
              </w:rPr>
              <w:t>the data is spread across many rows and categories</w:t>
            </w:r>
          </w:p>
        </w:tc>
        <w:tc>
          <w:tcPr/>
          <w:p>
            <w:pPr>
              <w:spacing w:after="40"/>
            </w:pPr>
            <w:r>
              <w:rPr>
                <w:rFonts w:ascii="Arial" w:hAnsi="Arial"/>
                <w:sz w:val="18"/>
              </w:rPr>
              <w:t>manual review makes cross-country and time comparisons slow</w:t>
            </w:r>
          </w:p>
        </w:tc>
        <w:tc>
          <w:tcPr/>
          <w:p>
            <w:pPr>
              <w:spacing w:after="40"/>
            </w:pPr>
            <w:r>
              <w:rPr>
                <w:rFonts w:ascii="Arial" w:hAnsi="Arial"/>
                <w:sz w:val="18"/>
              </w:rPr>
              <w:t>they may miss differences or trends that merit further review</w:t>
            </w:r>
          </w:p>
        </w:tc>
      </w:tr>
      <w:tr>
        <w:trPr>
          <w:cantSplit w:val="0"/>
          <w:tblHeader w:val="0"/>
        </w:trPr>
        <w:tc>
          <w:tcPr/>
          <w:p>
            <w:pPr>
              <w:spacing w:after="40"/>
            </w:pPr>
            <w:r>
              <w:rPr>
                <w:rFonts w:ascii="Arial" w:hAnsi="Arial"/>
                <w:sz w:val="18"/>
              </w:rPr>
              <w:t>PS-2</w:t>
            </w:r>
          </w:p>
        </w:tc>
        <w:tc>
          <w:tcPr/>
          <w:p>
            <w:pPr>
              <w:spacing w:after="40"/>
            </w:pPr>
            <w:r>
              <w:rPr>
                <w:rFonts w:ascii="Arial" w:hAnsi="Arial"/>
                <w:sz w:val="18"/>
              </w:rPr>
              <w:t>A student, journalist, or informed reader</w:t>
            </w:r>
          </w:p>
        </w:tc>
        <w:tc>
          <w:tcPr/>
          <w:p>
            <w:pPr>
              <w:spacing w:after="40"/>
            </w:pPr>
            <w:r>
              <w:rPr>
                <w:rFonts w:ascii="Arial" w:hAnsi="Arial"/>
                <w:sz w:val="18"/>
              </w:rPr>
              <w:t>understand how petrol, diesel, LPG, and crude-price indicators vary</w:t>
            </w:r>
          </w:p>
        </w:tc>
        <w:tc>
          <w:tcPr/>
          <w:p>
            <w:pPr>
              <w:spacing w:after="40"/>
            </w:pPr>
            <w:r>
              <w:rPr>
                <w:rFonts w:ascii="Arial" w:hAnsi="Arial"/>
                <w:sz w:val="18"/>
              </w:rPr>
              <w:t>the relationships are not obvious from raw tables alone</w:t>
            </w:r>
          </w:p>
        </w:tc>
        <w:tc>
          <w:tcPr/>
          <w:p>
            <w:pPr>
              <w:spacing w:after="40"/>
            </w:pPr>
            <w:r>
              <w:rPr>
                <w:rFonts w:ascii="Arial" w:hAnsi="Arial"/>
                <w:sz w:val="18"/>
              </w:rPr>
              <w:t>large datasets are difficult to scan without visual summaries</w:t>
            </w:r>
          </w:p>
        </w:tc>
        <w:tc>
          <w:tcPr/>
          <w:p>
            <w:pPr>
              <w:spacing w:after="40"/>
            </w:pPr>
            <w:r>
              <w:rPr>
                <w:rFonts w:ascii="Arial" w:hAnsi="Arial"/>
                <w:sz w:val="18"/>
              </w:rPr>
              <w:t>they need a clear and interactive way to explore the data</w:t>
            </w:r>
          </w:p>
        </w:tc>
      </w:tr>
    </w:tbl>
    <w:p w:rsidR="00000000" w:rsidDel="00000000" w:rsidP="00000000" w:rsidRDefault="00000000" w:rsidRPr="00000000" w14:paraId="00000026">
      <w:pPr>
        <w:rPr>
          <w:sz w:val="24"/>
          <w:szCs w:val="24"/>
        </w:rPr>
      </w:pPr>
      <w:r w:rsidDel="00000000" w:rsidR="00000000" w:rsidRPr="00000000">
        <w:rPr>
          <w:rtl w:val="0"/>
        </w:rPr>
      </w:r>
    </w:p>
    <w:p>
      <w:pPr>
        <w:pStyle w:val="Heading2"/>
      </w:pPr>
      <w:r>
        <w:t>Project problem statement</w:t>
      </w:r>
    </w:p>
    <w:p>
      <w:pPr>
        <w:spacing w:after="100"/>
      </w:pPr>
      <w:r>
        <w:t>How can global fuel-price and taxation data covering 2020–2026 be prepared and presented through an interactive Tableau dashboard and data Story so that viewers can compare countries, regions, years, income groups, and subsidy categories efficiently?</w:t>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