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8"/>
          <w:szCs w:val="28"/>
        </w:rPr>
      </w:pPr>
      <w:r w:rsidDel="00000000" w:rsidR="00000000" w:rsidRPr="00000000">
        <w:rPr>
          <w:b w:val="1"/>
          <w:bCs w:val="1"/>
          <w:sz w:val="28"/>
          <w:szCs w:val="28"/>
          <w:rtl w:val="0"/>
        </w:rPr>
        <w:t xml:space="preserve">Ideation Phase</w:t>
      </w:r>
    </w:p>
    <w:p w:rsidR="00000000" w:rsidDel="00000000" w:rsidP="00000000" w:rsidRDefault="00000000" w:rsidRPr="00000000" w14:paraId="00000002">
      <w:pPr>
        <w:spacing w:after="0" w:lineRule="auto"/>
        <w:jc w:val="center"/>
        <w:rPr>
          <w:b w:val="1"/>
          <w:bCs w:val="1"/>
          <w:sz w:val="28"/>
          <w:szCs w:val="28"/>
        </w:rPr>
      </w:pPr>
      <w:r w:rsidDel="00000000" w:rsidR="00000000" w:rsidRPr="00000000">
        <w:rPr>
          <w:b w:val="1"/>
          <w:bCs w:val="1"/>
          <w:sz w:val="28"/>
          <w:szCs w:val="28"/>
          <w:rtl w:val="0"/>
        </w:rPr>
        <w:t xml:space="preserve">Empathize &amp; Discover</w:t>
      </w:r>
    </w:p>
    <w:p w:rsidR="00000000" w:rsidDel="00000000" w:rsidP="00000000" w:rsidRDefault="00000000" w:rsidRPr="00000000" w14:paraId="00000003">
      <w:pPr>
        <w:spacing w:after="0" w:lineRule="auto"/>
        <w:jc w:val="center"/>
        <w:rPr>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pPr>
              <w:spacing w:after="40"/>
            </w:pPr>
            <w:r>
              <w:rPr>
                <w:rFonts w:ascii="Arial" w:hAnsi="Arial"/>
                <w:sz w:val="18"/>
              </w:rPr>
              <w:t>25 October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pPr>
              <w:spacing w:after="40"/>
            </w:pPr>
            <w:r>
              <w:rPr>
                <w:rFonts w:ascii="Arial" w:hAnsi="Arial"/>
                <w:sz w:val="18"/>
              </w:rPr>
              <w:t>Individual project; official Team ID not provided</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pPr>
              <w:spacing w:after="40"/>
            </w:pPr>
            <w:r>
              <w:rPr>
                <w:rFonts w:ascii="Arial" w:hAnsi="Arial"/>
                <w:sz w:val="18"/>
              </w:rPr>
              <w:t>Global Fuel Prices and Taxation Trends</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rPr>
          <w:b w:val="1"/>
          <w:bCs w:val="1"/>
          <w:sz w:val="24"/>
          <w:szCs w:val="24"/>
        </w:rPr>
      </w:pPr>
      <w:r w:rsidDel="00000000" w:rsidR="00000000" w:rsidRPr="00000000">
        <w:rPr>
          <w:b w:val="1"/>
          <w:bCs w:val="1"/>
          <w:sz w:val="24"/>
          <w:szCs w:val="24"/>
          <w:rtl w:val="0"/>
        </w:rPr>
        <w:t xml:space="preserve">Empathy Map Canvas: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sidDel="00000000" w:rsidR="00000000" w:rsidRPr="00000000">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jc w:val="both"/>
        <w:rPr>
          <w:sz w:val="24"/>
          <w:szCs w:val="24"/>
        </w:rPr>
      </w:pPr>
      <w:r w:rsidDel="00000000" w:rsidR="00000000" w:rsidRPr="00000000">
        <w:rPr>
          <w:b w:val="1"/>
          <w:bCs w:val="1"/>
          <w:color w:val="2a2a2a"/>
          <w:sz w:val="24"/>
          <w:szCs w:val="24"/>
          <w:rtl w:val="0"/>
        </w:rPr>
        <w:t xml:space="preserve">Example:</w:t>
      </w:r>
      <w:r w:rsidDel="00000000" w:rsidR="00000000" w:rsidRPr="00000000">
        <w:rPr>
          <w:rtl w:val="0"/>
        </w:rPr>
      </w:r>
    </w:p>
    <w:p w:rsidR="00000000" w:rsidDel="00000000" w:rsidP="00000000" w:rsidRDefault="00000000" w:rsidRPr="00000000" w14:paraId="00000013">
      <w:pPr>
        <w:rPr/>
      </w:pPr>
      <w:r w:rsidDel="00000000" w:rsidR="00000000" w:rsidRPr="00000000">
        <w:rPr>
          <w:sz w:val="24"/>
          <w:szCs w:val="24"/>
          <w:rtl w:val="0"/>
        </w:rPr>
        <w:t xml:space="preserve">Reference: </w:t>
      </w:r>
      <w:hyperlink r:id="rId7">
        <w:r w:rsidDel="00000000" w:rsidR="00000000" w:rsidRPr="00000000">
          <w:rPr>
            <w:color w:val="0563c1"/>
            <w:u w:val="single"/>
            <w:rtl w:val="0"/>
          </w:rPr>
          <w:t xml:space="preserve">https://www.mural.co/templates/empathy-map-canvas</w:t>
        </w:r>
      </w:hyperlink>
      <w:r w:rsidDel="00000000" w:rsidR="00000000" w:rsidRPr="00000000">
        <w:rPr>
          <w:rtl w:val="0"/>
        </w:rPr>
      </w:r>
    </w:p>
    <w:p w:rsidR="00000000" w:rsidDel="00000000" w:rsidP="00000000" w:rsidRDefault="00000000" w:rsidRPr="00000000" w14:paraId="00000014">
      <w:pPr>
        <w:jc w:val="both"/>
        <w:rPr>
          <w:b w:val="1"/>
          <w:bCs w:val="1"/>
          <w:color w:val="2a2a2a"/>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drawing>
          <wp:inline distB="114300" distT="114300" distL="114300" distR="114300">
            <wp:extent cx="5734050" cy="4474210"/>
            <wp:effectExtent b="0" l="0" r="0" t="0"/>
            <wp:docPr id="12" name="image3.png"/>
            <a:graphic>
              <a:graphicData uri="http://schemas.openxmlformats.org/drawingml/2006/picture">
                <pic:pic>
                  <pic:nvPicPr>
                    <pic:cNvPr id="0" name="image3.png"/>
                    <pic:cNvPicPr preferRelativeResize="0"/>
                  </pic:nvPicPr>
                  <pic:blipFill>
                    <a:blip r:embed="rId8"/>
                    <a:srcRect b="0" l="0" r="0" t="39700"/>
                    <a:stretch>
                      <a:fillRect/>
                    </a:stretch>
                  </pic:blipFill>
                  <pic:spPr>
                    <a:xfrm>
                      <a:off x="0" y="0"/>
                      <a:ext cx="5734050" cy="4474210"/>
                    </a:xfrm>
                    <a:prstGeom prst="rect"/>
                    <a:ln/>
                  </pic:spPr>
                </pic:pic>
              </a:graphicData>
            </a:graphic>
          </wp:inline>
        </w:drawing>
      </w:r>
      <w:r w:rsidDel="00000000" w:rsidR="00000000" w:rsidRPr="00000000">
        <w:rPr>
          <w:rtl w:val="0"/>
        </w:rPr>
      </w:r>
    </w:p>
    <w:p>
      <w:pPr>
        <w:pStyle w:val="Heading2"/>
      </w:pPr>
      <w:r>
        <w:t>Empathy Map — Intended Viewer</w:t>
      </w:r>
    </w:p>
    <w:p>
      <w:pPr>
        <w:spacing w:after="100"/>
      </w:pPr>
      <w:r>
        <w:t>User persona: a policy analyst, researcher, student, journalist, or general reader who needs a quick overview of differences in global fuel prices and taxation. The persona below is a design assumption, not the result of a formal user interview.</w:t>
      </w:r>
    </w:p>
    <w:tbl>
      <w:tblPr>
        <w:tblW w:type="auto" w:w="0"/>
        <w:tblLook w:firstColumn="1" w:firstRow="1" w:lastColumn="0" w:lastRow="0" w:noHBand="0" w:noVBand="1" w:val="04A0"/>
        <w:jc w:val="center"/>
        <w:tblBorders>
          <w:top w:val="single" w:sz="4" w:space="0" w:color="B7D5E8"/>
          <w:left w:val="single" w:sz="4" w:space="0" w:color="B7D5E8"/>
          <w:bottom w:val="single" w:sz="4" w:space="0" w:color="B7D5E8"/>
          <w:right w:val="single" w:sz="4" w:space="0" w:color="B7D5E8"/>
          <w:insideH w:val="single" w:sz="4" w:space="0" w:color="B7D5E8"/>
          <w:insideV w:val="single" w:sz="4" w:space="0" w:color="B7D5E8"/>
        </w:tblBorders>
      </w:tblPr>
      <w:tblGrid>
        <w:gridCol w:w="4513"/>
        <w:gridCol w:w="4513"/>
      </w:tblGrid>
      <w:tr>
        <w:trPr>
          <w:cantSplit/>
        </w:trPr>
        <w:tc>
          <w:tcPr>
            <w:tcW w:type="dxa" w:w="4513"/>
          </w:tcPr>
          <w:p>
            <w:pPr>
              <w:spacing w:after="40"/>
            </w:pPr>
            <w:r>
              <w:rPr>
                <w:rFonts w:ascii="Arial" w:hAnsi="Arial"/>
                <w:b/>
                <w:sz w:val="18"/>
              </w:rPr>
              <w:t>Area</w:t>
            </w:r>
          </w:p>
        </w:tc>
        <w:tc>
          <w:tcPr>
            <w:tcW w:type="dxa" w:w="4513"/>
          </w:tcPr>
          <w:p>
            <w:pPr>
              <w:spacing w:after="40"/>
            </w:pPr>
            <w:r>
              <w:rPr>
                <w:rFonts w:ascii="Arial" w:hAnsi="Arial"/>
                <w:b/>
                <w:sz w:val="18"/>
              </w:rPr>
              <w:t>User perspective</w:t>
            </w:r>
          </w:p>
        </w:tc>
      </w:tr>
      <w:tr>
        <w:trPr>
          <w:cantSplit/>
        </w:trPr>
        <w:tc>
          <w:tcPr>
            <w:tcW w:type="dxa" w:w="4513"/>
          </w:tcPr>
          <w:p>
            <w:pPr>
              <w:spacing w:after="40"/>
            </w:pPr>
            <w:r>
              <w:rPr>
                <w:rFonts w:ascii="Arial" w:hAnsi="Arial"/>
                <w:sz w:val="18"/>
              </w:rPr>
              <w:t>SAYS</w:t>
            </w:r>
          </w:p>
        </w:tc>
        <w:tc>
          <w:tcPr>
            <w:tcW w:type="dxa" w:w="4513"/>
          </w:tcPr>
          <w:p>
            <w:pPr>
              <w:spacing w:after="40"/>
            </w:pPr>
            <w:r>
              <w:rPr>
                <w:rFonts w:ascii="Arial" w:hAnsi="Arial"/>
                <w:sz w:val="18"/>
              </w:rPr>
              <w:t>“Which regions have higher fuel prices or tax percentages?” “How have prices changed over the period?”</w:t>
            </w:r>
          </w:p>
        </w:tc>
      </w:tr>
      <w:tr>
        <w:trPr>
          <w:cantSplit/>
        </w:trPr>
        <w:tc>
          <w:tcPr>
            <w:tcW w:type="dxa" w:w="4513"/>
          </w:tcPr>
          <w:p>
            <w:pPr>
              <w:spacing w:after="40"/>
            </w:pPr>
            <w:r>
              <w:rPr>
                <w:rFonts w:ascii="Arial" w:hAnsi="Arial"/>
                <w:sz w:val="18"/>
              </w:rPr>
              <w:t>THINKS</w:t>
            </w:r>
          </w:p>
        </w:tc>
        <w:tc>
          <w:tcPr>
            <w:tcW w:type="dxa" w:w="4513"/>
          </w:tcPr>
          <w:p>
            <w:pPr>
              <w:spacing w:after="40"/>
            </w:pPr>
            <w:r>
              <w:rPr>
                <w:rFonts w:ascii="Arial" w:hAnsi="Arial"/>
                <w:sz w:val="18"/>
              </w:rPr>
              <w:t>The raw dataset may have useful patterns, but I need comparisons that are easy to validate.</w:t>
            </w:r>
          </w:p>
        </w:tc>
      </w:tr>
      <w:tr>
        <w:trPr>
          <w:cantSplit/>
        </w:trPr>
        <w:tc>
          <w:tcPr>
            <w:tcW w:type="dxa" w:w="4513"/>
          </w:tcPr>
          <w:p>
            <w:pPr>
              <w:spacing w:after="40"/>
            </w:pPr>
            <w:r>
              <w:rPr>
                <w:rFonts w:ascii="Arial" w:hAnsi="Arial"/>
                <w:sz w:val="18"/>
              </w:rPr>
              <w:t>DOES</w:t>
            </w:r>
          </w:p>
        </w:tc>
        <w:tc>
          <w:tcPr>
            <w:tcW w:type="dxa" w:w="4513"/>
          </w:tcPr>
          <w:p>
            <w:pPr>
              <w:spacing w:after="40"/>
            </w:pPr>
            <w:r>
              <w:rPr>
                <w:rFonts w:ascii="Arial" w:hAnsi="Arial"/>
                <w:sz w:val="18"/>
              </w:rPr>
              <w:t>Selects dates and region/income/subsidy categories; compares KPI cards, maps, trends, and tax charts.</w:t>
            </w:r>
          </w:p>
        </w:tc>
      </w:tr>
      <w:tr>
        <w:trPr>
          <w:cantSplit/>
        </w:trPr>
        <w:tc>
          <w:tcPr>
            <w:tcW w:type="dxa" w:w="4513"/>
          </w:tcPr>
          <w:p>
            <w:pPr>
              <w:spacing w:after="40"/>
            </w:pPr>
            <w:r>
              <w:rPr>
                <w:rFonts w:ascii="Arial" w:hAnsi="Arial"/>
                <w:sz w:val="18"/>
              </w:rPr>
              <w:t>FEELS</w:t>
            </w:r>
          </w:p>
        </w:tc>
        <w:tc>
          <w:tcPr>
            <w:tcW w:type="dxa" w:w="4513"/>
          </w:tcPr>
          <w:p>
            <w:pPr>
              <w:spacing w:after="40"/>
            </w:pPr>
            <w:r>
              <w:rPr>
                <w:rFonts w:ascii="Arial" w:hAnsi="Arial"/>
                <w:sz w:val="18"/>
              </w:rPr>
              <w:t>Wants confidence in the data quality and a clear explanation without needing to inspect thousands of rows.</w:t>
            </w:r>
          </w:p>
        </w:tc>
      </w:tr>
      <w:tr>
        <w:trPr>
          <w:cantSplit/>
        </w:trPr>
        <w:tc>
          <w:tcPr>
            <w:tcW w:type="dxa" w:w="4513"/>
          </w:tcPr>
          <w:p>
            <w:pPr>
              <w:spacing w:after="40"/>
            </w:pPr>
            <w:r>
              <w:rPr>
                <w:rFonts w:ascii="Arial" w:hAnsi="Arial"/>
                <w:sz w:val="18"/>
              </w:rPr>
              <w:t>PAINS</w:t>
            </w:r>
          </w:p>
        </w:tc>
        <w:tc>
          <w:tcPr>
            <w:tcW w:type="dxa" w:w="4513"/>
          </w:tcPr>
          <w:p>
            <w:pPr>
              <w:spacing w:after="40"/>
            </w:pPr>
            <w:r>
              <w:rPr>
                <w:rFonts w:ascii="Arial" w:hAnsi="Arial"/>
                <w:sz w:val="18"/>
              </w:rPr>
              <w:t>Different measures, country coverage, inconsistent categories, overloaded charts, unclear time ranges.</w:t>
            </w:r>
          </w:p>
        </w:tc>
      </w:tr>
      <w:tr>
        <w:trPr>
          <w:cantSplit/>
        </w:trPr>
        <w:tc>
          <w:tcPr>
            <w:tcW w:type="dxa" w:w="4513"/>
          </w:tcPr>
          <w:p>
            <w:pPr>
              <w:spacing w:after="40"/>
            </w:pPr>
            <w:r>
              <w:rPr>
                <w:rFonts w:ascii="Arial" w:hAnsi="Arial"/>
                <w:sz w:val="18"/>
              </w:rPr>
              <w:t>GAINS</w:t>
            </w:r>
          </w:p>
        </w:tc>
        <w:tc>
          <w:tcPr>
            <w:tcW w:type="dxa" w:w="4513"/>
          </w:tcPr>
          <w:p>
            <w:pPr>
              <w:spacing w:after="40"/>
            </w:pPr>
            <w:r>
              <w:rPr>
                <w:rFonts w:ascii="Arial" w:hAnsi="Arial"/>
                <w:sz w:val="18"/>
              </w:rPr>
              <w:t>A clear overview, transparent scope, reusable filters, and a narrative summary of what the charts indicate.</w:t>
            </w:r>
          </w:p>
        </w:tc>
      </w:tr>
    </w:tbl>
    <w:p>
      <w:pPr>
        <w:pStyle w:val="Heading2"/>
      </w:pPr>
      <w:r>
        <w:t>Design implications</w:t>
      </w:r>
    </w:p>
    <w:p/>
    <w:p>
      <w:r>
        <w:t>State the data coverage and units explicitly.</w:t>
      </w:r>
    </w:p>
    <w:p/>
    <w:p>
      <w:r>
        <w:t>Use maps for geographic comparisons and line charts for time trends.</w:t>
      </w:r>
    </w:p>
    <w:p/>
    <w:p>
      <w:r>
        <w:t>Provide interactive filters and a separate Story that guides interpretation.</w:t>
      </w:r>
    </w:p>
    <w:p/>
    <w:p>
      <w:r>
        <w:t>Describe patterns as associations rather than proof of causation.</w:t>
      </w:r>
    </w:p>
    <w:sectPr>
      <w:headerReference r:id="rId9" w:type="default"/>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rPr/>
    </w:pPr>
    <w:r w:rsidDel="00000000" w:rsidR="00000000" w:rsidRPr="00000000">
      <w:rPr/>
      <w:drawing>
        <wp:anchor allowOverlap="1" behindDoc="0" distB="114300" distT="114300" distL="114300" distR="114300" hidden="0" layoutInCell="1" locked="0" relativeHeight="0" simplePos="0">
          <wp:simplePos x="0" y="0"/>
          <wp:positionH relativeFrom="page">
            <wp:posOffset>6505575</wp:posOffset>
          </wp:positionH>
          <wp:positionV relativeFrom="page">
            <wp:posOffset>239913</wp:posOffset>
          </wp:positionV>
          <wp:extent cx="864691" cy="395288"/>
          <wp:effectExtent b="0" l="0" r="0" t="0"/>
          <wp:wrapNone/>
          <wp:docPr id="1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64691" cy="395288"/>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142875</wp:posOffset>
          </wp:positionH>
          <wp:positionV relativeFrom="page">
            <wp:posOffset>144663</wp:posOffset>
          </wp:positionV>
          <wp:extent cx="1376363" cy="589870"/>
          <wp:effectExtent b="0" l="0" r="0" t="0"/>
          <wp:wrapNone/>
          <wp:docPr id="10" name="image2.png"/>
          <a:graphic>
            <a:graphicData uri="http://schemas.openxmlformats.org/drawingml/2006/picture">
              <pic:pic>
                <pic:nvPicPr>
                  <pic:cNvPr id="0" name="image2.png"/>
                  <pic:cNvPicPr preferRelativeResize="0"/>
                </pic:nvPicPr>
                <pic:blipFill>
                  <a:blip r:embed="rId2"/>
                  <a:srcRect b="7692" l="0" r="7692" t="0"/>
                  <a:stretch>
                    <a:fillRect/>
                  </a:stretch>
                </pic:blipFill>
                <pic:spPr>
                  <a:xfrm>
                    <a:off x="0" y="0"/>
                    <a:ext cx="1376363" cy="58987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mural.co/templates/empathy-map-canvas" TargetMode="External"/><Relationship Id="rId8"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3fsNOHpf3FV2G7iHBSFfo66Y9w==">CgMxLjA4AHIhMVp3Wnhtemd2NUdMU0tNbFpRV1UyMEdfdDVoQzFQb0Qy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