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pPr>
              <w:spacing w:after="40"/>
            </w:pPr>
            <w:r>
              <w:rPr>
                <w:rFonts w:ascii="Arial" w:hAnsi="Arial"/>
                <w:sz w:val="18"/>
              </w:rPr>
              <w:t>25 October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pPr>
              <w:spacing w:after="40"/>
            </w:pPr>
            <w:r>
              <w:rPr>
                <w:rFonts w:ascii="Arial" w:hAnsi="Arial"/>
                <w:sz w:val="18"/>
              </w:rPr>
              <w:t>Individual project; official Team ID not provided</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pPr>
              <w:spacing w:after="40"/>
            </w:pPr>
            <w:r>
              <w:rPr>
                <w:rFonts w:ascii="Arial" w:hAnsi="Arial"/>
                <w:sz w:val="18"/>
              </w:rPr>
              <w:t>Global Fuel Prices and Taxation Trends</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widowControl w:val="0"/>
        <w:spacing w:after="0" w:before="212.921142578125"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DFD Symbol Legend </w:t>
        <w:br w:type="textWrapping"/>
        <w:t xml:space="preserve">  </w:t>
      </w:r>
    </w:p>
    <w:tbl>
      <w:tblPr>
        <w:tblStyle w:val="Table2"/>
        <w:tblW w:w="14700.0" w:type="dxa"/>
        <w:jc w:val="left"/>
        <w:tblInd w:w="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175"/>
        <w:gridCol w:w="9945"/>
        <w:tblGridChange w:id="0">
          <w:tblGrid>
            <w:gridCol w:w="2580"/>
            <w:gridCol w:w="2175"/>
            <w:gridCol w:w="994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ind w:left="142.480010986328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ind w:left="143.359985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ind w:left="138.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40" w:lineRule="auto"/>
              <w:ind w:left="139.360046386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Oval / Rounded </w:t>
            </w:r>
          </w:p>
          <w:p w:rsidR="00000000" w:rsidDel="00000000" w:rsidP="00000000" w:rsidRDefault="00000000" w:rsidRPr="00000000" w14:paraId="00000014">
            <w:pPr>
              <w:widowControl w:val="0"/>
              <w:spacing w:after="0" w:before="37.2930908203125" w:line="240" w:lineRule="auto"/>
              <w:ind w:left="139.6000671386718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64.3717384338379" w:lineRule="auto"/>
              <w:ind w:left="134.520263671875" w:right="408.51806640625" w:firstLine="2.3999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organization, or system outside the project that sends or receives data (e.g., Customer, Payment Gateway).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with </w:t>
            </w:r>
          </w:p>
          <w:p w:rsidR="00000000" w:rsidDel="00000000" w:rsidP="00000000" w:rsidRDefault="00000000" w:rsidRPr="00000000" w14:paraId="00000018">
            <w:pPr>
              <w:widowControl w:val="0"/>
              <w:spacing w:after="0" w:before="37.2930908203125" w:line="240" w:lineRule="auto"/>
              <w:ind w:left="138.159942626953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numbered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ind w:left="14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64.3717384338379" w:lineRule="auto"/>
              <w:ind w:left="143.1597900390625" w:right="306.336669921875" w:hanging="6.239624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activity that transforms incoming data into outgoing data (e.g., Validate Request, Process Order).</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64.3717384338379" w:lineRule="auto"/>
              <w:ind w:left="138.15994262695312" w:right="297.51495361328125" w:hanging="3.600006103515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(solid fill, no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Store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64.3717384338379" w:lineRule="auto"/>
              <w:ind w:left="143.64013671875" w:right="473.798828125" w:hanging="6.71997070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place where data is held for later use (e.g., Customer Database, Inventory).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Labeled arrow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64.3717384338379" w:lineRule="auto"/>
              <w:ind w:left="134.520263671875" w:right="471.29150390625" w:firstLine="7.6794433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movement of data between entities, processes, and data stores, labeled with what data is being passed.</w:t>
            </w:r>
          </w:p>
        </w:tc>
      </w:tr>
    </w:tbl>
    <w:p w:rsidR="00000000" w:rsidDel="00000000" w:rsidP="00000000" w:rsidRDefault="00000000" w:rsidRPr="00000000" w14:paraId="00000021">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613150" cy="381000"/>
                        </a:xfrm>
                        <a:prstGeom prst="rect"/>
                        <a:ln/>
                      </pic:spPr>
                    </pic:pic>
                  </a:graphicData>
                </a:graphic>
              </wp:anchor>
            </w:drawing>
          </mc:Fallback>
        </mc:AlternateContent>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4450" cy="2838450"/>
                        </a:xfrm>
                        <a:prstGeom prst="rect"/>
                        <a:ln/>
                      </pic:spPr>
                    </pic:pic>
                  </a:graphicData>
                </a:graphic>
              </wp:anchor>
            </w:drawing>
          </mc:Fallback>
        </mc:AlternateContent>
      </w:r>
    </w:p>
    <w:p w:rsidR="00000000" w:rsidDel="00000000" w:rsidP="00000000" w:rsidRDefault="00000000" w:rsidRPr="00000000" w14:paraId="00000025">
      <w:pPr>
        <w:widowControl w:val="0"/>
        <w:spacing w:after="0" w:line="204.85629558563232" w:lineRule="auto"/>
        <w:ind w:left="675" w:firstLine="0"/>
        <w:jc w:val="center"/>
        <w:rPr>
          <w:rFonts w:ascii="Arial" w:cs="Arial" w:eastAsia="Arial" w:hAnsi="Arial"/>
          <w:b w:val="1"/>
          <w:bCs w:val="1"/>
        </w:rPr>
      </w:pPr>
      <w:r w:rsidDel="00000000" w:rsidR="00000000" w:rsidRPr="00000000">
        <w:rPr>
          <w:rFonts w:ascii="Times New Roman" w:cs="Times New Roman" w:eastAsia="Times New Roman" w:hAnsi="Times New Roman"/>
          <w:sz w:val="24"/>
          <w:szCs w:val="24"/>
        </w:rPr>
        <w:drawing>
          <wp:inline distB="19050" distT="19050" distL="19050" distR="19050">
            <wp:extent cx="5705475" cy="3095625"/>
            <wp:effectExtent b="0" l="0" r="0" t="0"/>
            <wp:docPr id="1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0547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widowControl w:val="0"/>
        <w:spacing w:after="0" w:line="204.85629558563232" w:lineRule="auto"/>
        <w:ind w:left="675"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D">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3"/>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2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3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3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3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3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3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3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p>
            <w:pPr>
              <w:spacing w:after="40"/>
            </w:pPr>
            <w:r>
              <w:rPr>
                <w:rFonts w:ascii="Arial" w:hAnsi="Arial"/>
                <w:sz w:val="18"/>
              </w:rPr>
              <w:t>Viewer / analyst</w:t>
            </w:r>
          </w:p>
        </w:tc>
        <w:tc>
          <w:tcPr/>
          <w:p>
            <w:pPr>
              <w:spacing w:after="40"/>
            </w:pPr>
            <w:r>
              <w:rPr>
                <w:rFonts w:ascii="Arial" w:hAnsi="Arial"/>
                <w:sz w:val="18"/>
              </w:rPr>
              <w:t>Explore dashboard</w:t>
            </w:r>
          </w:p>
        </w:tc>
        <w:tc>
          <w:tcPr/>
          <w:p>
            <w:pPr>
              <w:spacing w:after="40"/>
            </w:pPr>
            <w:r>
              <w:rPr>
                <w:rFonts w:ascii="Arial" w:hAnsi="Arial"/>
                <w:sz w:val="18"/>
              </w:rPr>
              <w:t>USN-1</w:t>
            </w:r>
          </w:p>
        </w:tc>
        <w:tc>
          <w:tcPr/>
          <w:p>
            <w:pPr>
              <w:spacing w:after="40"/>
            </w:pPr>
            <w:r>
              <w:rPr>
                <w:rFonts w:ascii="Arial" w:hAnsi="Arial"/>
                <w:sz w:val="18"/>
              </w:rPr>
              <w:t>As a viewer, I can open the published dashboard to inspect global fuel-price and taxation KPIs.</w:t>
            </w:r>
          </w:p>
        </w:tc>
        <w:tc>
          <w:tcPr/>
          <w:p>
            <w:pPr>
              <w:spacing w:after="40"/>
            </w:pPr>
            <w:r>
              <w:rPr>
                <w:rFonts w:ascii="Arial" w:hAnsi="Arial"/>
                <w:sz w:val="18"/>
              </w:rPr>
              <w:t>Dashboard loads and KPI cards/charts render.</w:t>
            </w:r>
          </w:p>
        </w:tc>
        <w:tc>
          <w:tcPr/>
          <w:p>
            <w:pPr>
              <w:spacing w:after="40"/>
            </w:pPr>
            <w:r>
              <w:rPr>
                <w:rFonts w:ascii="Arial" w:hAnsi="Arial"/>
                <w:sz w:val="18"/>
              </w:rPr>
              <w:t>High</w:t>
            </w:r>
          </w:p>
        </w:tc>
        <w:tc>
          <w:tcPr/>
          <w:p>
            <w:pPr>
              <w:spacing w:after="40"/>
            </w:pPr>
            <w:r>
              <w:rPr>
                <w:rFonts w:ascii="Arial" w:hAnsi="Arial"/>
                <w:sz w:val="18"/>
              </w:rPr>
              <w:t>Release 1</w:t>
            </w:r>
          </w:p>
        </w:tc>
      </w:tr>
      <w:tr>
        <w:trPr>
          <w:cantSplit w:val="0"/>
          <w:trHeight w:val="404" w:hRule="atLeast"/>
          <w:tblHeader w:val="0"/>
        </w:trPr>
        <w:tc>
          <w:tcPr/>
          <w:p>
            <w:pPr>
              <w:spacing w:after="40"/>
            </w:pPr>
            <w:r>
              <w:rPr>
                <w:rFonts w:ascii="Arial" w:hAnsi="Arial"/>
                <w:sz w:val="18"/>
              </w:rPr>
              <w:t>Viewer / analyst</w:t>
            </w:r>
          </w:p>
        </w:tc>
        <w:tc>
          <w:tcPr/>
          <w:p>
            <w:pPr>
              <w:spacing w:after="40"/>
            </w:pPr>
            <w:r>
              <w:rPr>
                <w:rFonts w:ascii="Arial" w:hAnsi="Arial"/>
                <w:sz w:val="18"/>
              </w:rPr>
              <w:t>Filter data</w:t>
            </w:r>
          </w:p>
        </w:tc>
        <w:tc>
          <w:tcPr/>
          <w:p>
            <w:pPr>
              <w:spacing w:after="40"/>
            </w:pPr>
            <w:r>
              <w:rPr>
                <w:rFonts w:ascii="Arial" w:hAnsi="Arial"/>
                <w:sz w:val="18"/>
              </w:rPr>
              <w:t>USN-2</w:t>
            </w:r>
          </w:p>
        </w:tc>
        <w:tc>
          <w:tcPr/>
          <w:p>
            <w:pPr>
              <w:spacing w:after="40"/>
            </w:pPr>
            <w:r>
              <w:rPr>
                <w:rFonts w:ascii="Arial" w:hAnsi="Arial"/>
                <w:sz w:val="18"/>
              </w:rPr>
              <w:t>As a viewer, I can change Date and Region filters to focus the comparison.</w:t>
            </w:r>
          </w:p>
        </w:tc>
        <w:tc>
          <w:tcPr/>
          <w:p>
            <w:pPr>
              <w:spacing w:after="40"/>
            </w:pPr>
            <w:r>
              <w:rPr>
                <w:rFonts w:ascii="Arial" w:hAnsi="Arial"/>
                <w:sz w:val="18"/>
              </w:rPr>
              <w:t>Relevant charts update after selection.</w:t>
            </w:r>
          </w:p>
        </w:tc>
        <w:tc>
          <w:tcPr/>
          <w:p>
            <w:pPr>
              <w:spacing w:after="40"/>
            </w:pPr>
            <w:r>
              <w:rPr>
                <w:rFonts w:ascii="Arial" w:hAnsi="Arial"/>
                <w:sz w:val="18"/>
              </w:rPr>
              <w:t>High</w:t>
            </w:r>
          </w:p>
        </w:tc>
        <w:tc>
          <w:tcPr/>
          <w:p>
            <w:pPr>
              <w:spacing w:after="40"/>
            </w:pPr>
            <w:r>
              <w:rPr>
                <w:rFonts w:ascii="Arial" w:hAnsi="Arial"/>
                <w:sz w:val="18"/>
              </w:rPr>
              <w:t>Release 1</w:t>
            </w:r>
          </w:p>
        </w:tc>
      </w:tr>
      <w:tr>
        <w:trPr>
          <w:cantSplit w:val="0"/>
          <w:trHeight w:val="404" w:hRule="atLeast"/>
          <w:tblHeader w:val="0"/>
        </w:trPr>
        <w:tc>
          <w:tcPr/>
          <w:p>
            <w:pPr>
              <w:spacing w:after="40"/>
            </w:pPr>
            <w:r>
              <w:rPr>
                <w:rFonts w:ascii="Arial" w:hAnsi="Arial"/>
                <w:sz w:val="18"/>
              </w:rPr>
              <w:t>Viewer / analyst</w:t>
            </w:r>
          </w:p>
        </w:tc>
        <w:tc>
          <w:tcPr/>
          <w:p>
            <w:pPr>
              <w:spacing w:after="40"/>
            </w:pPr>
            <w:r>
              <w:rPr>
                <w:rFonts w:ascii="Arial" w:hAnsi="Arial"/>
                <w:sz w:val="18"/>
              </w:rPr>
              <w:t>Segment analysis</w:t>
            </w:r>
          </w:p>
        </w:tc>
        <w:tc>
          <w:tcPr/>
          <w:p>
            <w:pPr>
              <w:spacing w:after="40"/>
            </w:pPr>
            <w:r>
              <w:rPr>
                <w:rFonts w:ascii="Arial" w:hAnsi="Arial"/>
                <w:sz w:val="18"/>
              </w:rPr>
              <w:t>USN-3</w:t>
            </w:r>
          </w:p>
        </w:tc>
        <w:tc>
          <w:tcPr/>
          <w:p>
            <w:pPr>
              <w:spacing w:after="40"/>
            </w:pPr>
            <w:r>
              <w:rPr>
                <w:rFonts w:ascii="Arial" w:hAnsi="Arial"/>
                <w:sz w:val="18"/>
              </w:rPr>
              <w:t>As a viewer, I can change Income Level and Subsidy Level to compare categories.</w:t>
            </w:r>
          </w:p>
        </w:tc>
        <w:tc>
          <w:tcPr/>
          <w:p>
            <w:pPr>
              <w:spacing w:after="40"/>
            </w:pPr>
            <w:r>
              <w:rPr>
                <w:rFonts w:ascii="Arial" w:hAnsi="Arial"/>
                <w:sz w:val="18"/>
              </w:rPr>
              <w:t>Relevant charts update without blank or error states.</w:t>
            </w:r>
          </w:p>
        </w:tc>
        <w:tc>
          <w:tcPr/>
          <w:p>
            <w:pPr>
              <w:spacing w:after="40"/>
            </w:pPr>
            <w:r>
              <w:rPr>
                <w:rFonts w:ascii="Arial" w:hAnsi="Arial"/>
                <w:sz w:val="18"/>
              </w:rPr>
              <w:t>High</w:t>
            </w:r>
          </w:p>
        </w:tc>
        <w:tc>
          <w:tcPr/>
          <w:p>
            <w:pPr>
              <w:spacing w:after="40"/>
            </w:pPr>
            <w:r>
              <w:rPr>
                <w:rFonts w:ascii="Arial" w:hAnsi="Arial"/>
                <w:sz w:val="18"/>
              </w:rPr>
              <w:t>Release 1</w:t>
            </w:r>
          </w:p>
        </w:tc>
      </w:tr>
      <w:tr>
        <w:trPr>
          <w:cantSplit w:val="0"/>
          <w:trHeight w:val="404" w:hRule="atLeast"/>
          <w:tblHeader w:val="0"/>
        </w:trPr>
        <w:tc>
          <w:tcPr/>
          <w:p>
            <w:pPr>
              <w:spacing w:after="40"/>
            </w:pPr>
            <w:r>
              <w:rPr>
                <w:rFonts w:ascii="Arial" w:hAnsi="Arial"/>
                <w:sz w:val="18"/>
              </w:rPr>
              <w:t>Viewer / analyst</w:t>
            </w:r>
          </w:p>
        </w:tc>
        <w:tc>
          <w:tcPr/>
          <w:p>
            <w:pPr>
              <w:spacing w:after="40"/>
            </w:pPr>
            <w:r>
              <w:rPr>
                <w:rFonts w:ascii="Arial" w:hAnsi="Arial"/>
                <w:sz w:val="18"/>
              </w:rPr>
              <w:t>Compare fuel types</w:t>
            </w:r>
          </w:p>
        </w:tc>
        <w:tc>
          <w:tcPr/>
          <w:p>
            <w:pPr>
              <w:spacing w:after="40"/>
            </w:pPr>
            <w:r>
              <w:rPr>
                <w:rFonts w:ascii="Arial" w:hAnsi="Arial"/>
                <w:sz w:val="18"/>
              </w:rPr>
              <w:t>USN-4</w:t>
            </w:r>
          </w:p>
        </w:tc>
        <w:tc>
          <w:tcPr/>
          <w:p>
            <w:pPr>
              <w:spacing w:after="40"/>
            </w:pPr>
            <w:r>
              <w:rPr>
                <w:rFonts w:ascii="Arial" w:hAnsi="Arial"/>
                <w:sz w:val="18"/>
              </w:rPr>
              <w:t>As a viewer, I can compare petrol, diesel, LPG and crude-price indicators where shown.</w:t>
            </w:r>
          </w:p>
        </w:tc>
        <w:tc>
          <w:tcPr/>
          <w:p>
            <w:pPr>
              <w:spacing w:after="40"/>
            </w:pPr>
            <w:r>
              <w:rPr>
                <w:rFonts w:ascii="Arial" w:hAnsi="Arial"/>
                <w:sz w:val="18"/>
              </w:rPr>
              <w:t>Corresponding chart labels and measures are clear.</w:t>
            </w:r>
          </w:p>
        </w:tc>
        <w:tc>
          <w:tcPr/>
          <w:p>
            <w:pPr>
              <w:spacing w:after="40"/>
            </w:pPr>
            <w:r>
              <w:rPr>
                <w:rFonts w:ascii="Arial" w:hAnsi="Arial"/>
                <w:sz w:val="18"/>
              </w:rPr>
              <w:t>Medium</w:t>
            </w:r>
          </w:p>
        </w:tc>
        <w:tc>
          <w:tcPr/>
          <w:p>
            <w:pPr>
              <w:spacing w:after="40"/>
            </w:pPr>
            <w:r>
              <w:rPr>
                <w:rFonts w:ascii="Arial" w:hAnsi="Arial"/>
                <w:sz w:val="18"/>
              </w:rPr>
              <w:t>Release 1</w:t>
            </w:r>
          </w:p>
        </w:tc>
      </w:tr>
      <w:tr>
        <w:trPr>
          <w:cantSplit w:val="0"/>
          <w:trHeight w:val="404" w:hRule="atLeast"/>
          <w:tblHeader w:val="0"/>
        </w:trPr>
        <w:tc>
          <w:tcPr/>
          <w:p>
            <w:pPr>
              <w:spacing w:after="40"/>
            </w:pPr>
            <w:r>
              <w:rPr>
                <w:rFonts w:ascii="Arial" w:hAnsi="Arial"/>
                <w:sz w:val="18"/>
              </w:rPr>
              <w:t>Viewer / analyst</w:t>
            </w:r>
          </w:p>
        </w:tc>
        <w:tc>
          <w:tcPr/>
          <w:p>
            <w:pPr>
              <w:spacing w:after="40"/>
            </w:pPr>
            <w:r>
              <w:rPr>
                <w:rFonts w:ascii="Arial" w:hAnsi="Arial"/>
                <w:sz w:val="18"/>
              </w:rPr>
              <w:t>Follow narrative</w:t>
            </w:r>
          </w:p>
        </w:tc>
        <w:tc>
          <w:tcPr/>
          <w:p>
            <w:pPr>
              <w:spacing w:after="40"/>
            </w:pPr>
            <w:r>
              <w:rPr>
                <w:rFonts w:ascii="Arial" w:hAnsi="Arial"/>
                <w:sz w:val="18"/>
              </w:rPr>
              <w:t>USN-5</w:t>
            </w:r>
          </w:p>
        </w:tc>
        <w:tc>
          <w:tcPr/>
          <w:p>
            <w:pPr>
              <w:spacing w:after="40"/>
            </w:pPr>
            <w:r>
              <w:rPr>
                <w:rFonts w:ascii="Arial" w:hAnsi="Arial"/>
                <w:sz w:val="18"/>
              </w:rPr>
              <w:t>As a viewer, I can move through a seven-scene Story from problem to conclusions.</w:t>
            </w:r>
          </w:p>
        </w:tc>
        <w:tc>
          <w:tcPr/>
          <w:p>
            <w:pPr>
              <w:spacing w:after="40"/>
            </w:pPr>
            <w:r>
              <w:rPr>
                <w:rFonts w:ascii="Arial" w:hAnsi="Arial"/>
                <w:sz w:val="18"/>
              </w:rPr>
              <w:t>All seven scenes are accessible in sequence.</w:t>
            </w:r>
          </w:p>
        </w:tc>
        <w:tc>
          <w:tcPr/>
          <w:p>
            <w:pPr>
              <w:spacing w:after="40"/>
            </w:pPr>
            <w:r>
              <w:rPr>
                <w:rFonts w:ascii="Arial" w:hAnsi="Arial"/>
                <w:sz w:val="18"/>
              </w:rPr>
              <w:t>High</w:t>
            </w:r>
          </w:p>
        </w:tc>
        <w:tc>
          <w:tcPr/>
          <w:p>
            <w:pPr>
              <w:spacing w:after="40"/>
            </w:pPr>
            <w:r>
              <w:rPr>
                <w:rFonts w:ascii="Arial" w:hAnsi="Arial"/>
                <w:sz w:val="18"/>
              </w:rPr>
              <w:t>Release 1</w:t>
            </w:r>
          </w:p>
        </w:tc>
      </w:tr>
      <w:tr>
        <w:trPr>
          <w:cantSplit w:val="0"/>
          <w:trHeight w:val="404" w:hRule="atLeast"/>
          <w:tblHeader w:val="0"/>
        </w:trPr>
        <w:tc>
          <w:tcPr/>
          <w:p>
            <w:pPr>
              <w:spacing w:after="40"/>
            </w:pPr>
            <w:r>
              <w:rPr>
                <w:rFonts w:ascii="Arial" w:hAnsi="Arial"/>
                <w:sz w:val="18"/>
              </w:rPr>
              <w:t>Reviewer</w:t>
            </w:r>
          </w:p>
        </w:tc>
        <w:tc>
          <w:tcPr/>
          <w:p>
            <w:pPr>
              <w:spacing w:after="40"/>
            </w:pPr>
            <w:r>
              <w:rPr>
                <w:rFonts w:ascii="Arial" w:hAnsi="Arial"/>
                <w:sz w:val="18"/>
              </w:rPr>
              <w:t>Inspect source</w:t>
            </w:r>
          </w:p>
        </w:tc>
        <w:tc>
          <w:tcPr/>
          <w:p>
            <w:pPr>
              <w:spacing w:after="40"/>
            </w:pPr>
            <w:r>
              <w:rPr>
                <w:rFonts w:ascii="Arial" w:hAnsi="Arial"/>
                <w:sz w:val="18"/>
              </w:rPr>
              <w:t>USN-6</w:t>
            </w:r>
          </w:p>
        </w:tc>
        <w:tc>
          <w:tcPr/>
          <w:p>
            <w:pPr>
              <w:spacing w:after="40"/>
            </w:pPr>
            <w:r>
              <w:rPr>
                <w:rFonts w:ascii="Arial" w:hAnsi="Arial"/>
                <w:sz w:val="18"/>
              </w:rPr>
              <w:t>As a reviewer, I can open the original Tableau Public dashboard and Story from the website.</w:t>
            </w:r>
          </w:p>
        </w:tc>
        <w:tc>
          <w:tcPr/>
          <w:p>
            <w:pPr>
              <w:spacing w:after="40"/>
            </w:pPr>
            <w:r>
              <w:rPr>
                <w:rFonts w:ascii="Arial" w:hAnsi="Arial"/>
                <w:sz w:val="18"/>
              </w:rPr>
              <w:t>Links open the respective published views.</w:t>
            </w:r>
          </w:p>
        </w:tc>
        <w:tc>
          <w:tcPr/>
          <w:p>
            <w:pPr>
              <w:spacing w:after="40"/>
            </w:pPr>
            <w:r>
              <w:rPr>
                <w:rFonts w:ascii="Arial" w:hAnsi="Arial"/>
                <w:sz w:val="18"/>
              </w:rPr>
              <w:t>High</w:t>
            </w:r>
          </w:p>
        </w:tc>
        <w:tc>
          <w:tcPr/>
          <w:p>
            <w:pPr>
              <w:spacing w:after="40"/>
            </w:pPr>
            <w:r>
              <w:rPr>
                <w:rFonts w:ascii="Arial" w:hAnsi="Arial"/>
                <w:sz w:val="18"/>
              </w:rPr>
              <w:t>Release 1</w:t>
            </w:r>
          </w:p>
        </w:tc>
      </w:tr>
      <w:tr>
        <w:trPr>
          <w:cantSplit w:val="0"/>
          <w:trHeight w:val="404" w:hRule="atLeast"/>
          <w:tblHeader w:val="0"/>
        </w:trPr>
        <w:tc>
          <w:tcPr/>
          <w:p>
            <w:pPr>
              <w:spacing w:after="40"/>
            </w:pPr>
            <w:r>
              <w:rPr>
                <w:rFonts w:ascii="Arial" w:hAnsi="Arial"/>
                <w:sz w:val="18"/>
              </w:rPr>
              <w:t>Project owner</w:t>
            </w:r>
          </w:p>
        </w:tc>
        <w:tc>
          <w:tcPr/>
          <w:p>
            <w:pPr>
              <w:spacing w:after="40"/>
            </w:pPr>
            <w:r>
              <w:rPr>
                <w:rFonts w:ascii="Arial" w:hAnsi="Arial"/>
                <w:sz w:val="18"/>
              </w:rPr>
              <w:t>Maintain website</w:t>
            </w:r>
          </w:p>
        </w:tc>
        <w:tc>
          <w:tcPr/>
          <w:p>
            <w:pPr>
              <w:spacing w:after="40"/>
            </w:pPr>
            <w:r>
              <w:rPr>
                <w:rFonts w:ascii="Arial" w:hAnsi="Arial"/>
                <w:sz w:val="18"/>
              </w:rPr>
              <w:t>USN-7</w:t>
            </w:r>
          </w:p>
        </w:tc>
        <w:tc>
          <w:tcPr/>
          <w:p>
            <w:pPr>
              <w:spacing w:after="40"/>
            </w:pPr>
            <w:r>
              <w:rPr>
                <w:rFonts w:ascii="Arial" w:hAnsi="Arial"/>
                <w:sz w:val="18"/>
              </w:rPr>
              <w:t>As the owner, I can update the Flask/HTML presentation when Tableau links or project text change.</w:t>
            </w:r>
          </w:p>
        </w:tc>
        <w:tc>
          <w:tcPr/>
          <w:p>
            <w:pPr>
              <w:spacing w:after="40"/>
            </w:pPr>
            <w:r>
              <w:rPr>
                <w:rFonts w:ascii="Arial" w:hAnsi="Arial"/>
                <w:sz w:val="18"/>
              </w:rPr>
              <w:t>Updated local site renders on refresh.</w:t>
            </w:r>
          </w:p>
        </w:tc>
        <w:tc>
          <w:tcPr/>
          <w:p>
            <w:pPr>
              <w:spacing w:after="40"/>
            </w:pPr>
            <w:r>
              <w:rPr>
                <w:rFonts w:ascii="Arial" w:hAnsi="Arial"/>
                <w:sz w:val="18"/>
              </w:rPr>
              <w:t>Medium</w:t>
            </w:r>
          </w:p>
        </w:tc>
        <w:tc>
          <w:tcPr/>
          <w:p>
            <w:pPr>
              <w:spacing w:after="40"/>
            </w:pPr>
            <w:r>
              <w:rPr>
                <w:rFonts w:ascii="Arial" w:hAnsi="Arial"/>
                <w:sz w:val="18"/>
              </w:rPr>
              <w:t>Release 1</w:t>
            </w:r>
          </w:p>
        </w:tc>
      </w:tr>
      <w:tr>
        <w:trPr>
          <w:cantSplit w:val="0"/>
          <w:trHeight w:val="404" w:hRule="atLeast"/>
          <w:tblHeader w:val="0"/>
        </w:trPr>
        <w:tc>
          <w:tcPr/>
          <w:p>
            <w:pPr>
              <w:spacing w:after="40"/>
            </w:pPr>
            <w:r>
              <w:rPr>
                <w:rFonts w:ascii="Arial" w:hAnsi="Arial"/>
                <w:sz w:val="18"/>
              </w:rPr>
              <w:t>Data preparer</w:t>
            </w:r>
          </w:p>
        </w:tc>
        <w:tc>
          <w:tcPr/>
          <w:p>
            <w:pPr>
              <w:spacing w:after="40"/>
            </w:pPr>
            <w:r>
              <w:rPr>
                <w:rFonts w:ascii="Arial" w:hAnsi="Arial"/>
                <w:sz w:val="18"/>
              </w:rPr>
              <w:t>Check data quality</w:t>
            </w:r>
          </w:p>
        </w:tc>
        <w:tc>
          <w:tcPr/>
          <w:p>
            <w:pPr>
              <w:spacing w:after="40"/>
            </w:pPr>
            <w:r>
              <w:rPr>
                <w:rFonts w:ascii="Arial" w:hAnsi="Arial"/>
                <w:sz w:val="18"/>
              </w:rPr>
              <w:t>USN-8</w:t>
            </w:r>
          </w:p>
        </w:tc>
        <w:tc>
          <w:tcPr/>
          <w:p>
            <w:pPr>
              <w:spacing w:after="40"/>
            </w:pPr>
            <w:r>
              <w:rPr>
                <w:rFonts w:ascii="Arial" w:hAnsi="Arial"/>
                <w:sz w:val="18"/>
              </w:rPr>
              <w:t>As the preparer, I can inspect data-quality worksheets for missing values, duplicates, mappings and outliers.</w:t>
            </w:r>
          </w:p>
        </w:tc>
        <w:tc>
          <w:tcPr/>
          <w:p>
            <w:pPr>
              <w:spacing w:after="40"/>
            </w:pPr>
            <w:r>
              <w:rPr>
                <w:rFonts w:ascii="Arial" w:hAnsi="Arial"/>
                <w:sz w:val="18"/>
              </w:rPr>
              <w:t>Diagnostic sheets show checks for the specified fields.</w:t>
            </w:r>
          </w:p>
        </w:tc>
        <w:tc>
          <w:tcPr/>
          <w:p>
            <w:pPr>
              <w:spacing w:after="40"/>
            </w:pPr>
            <w:r>
              <w:rPr>
                <w:rFonts w:ascii="Arial" w:hAnsi="Arial"/>
                <w:sz w:val="18"/>
              </w:rPr>
              <w:t>High</w:t>
            </w:r>
          </w:p>
        </w:tc>
        <w:tc>
          <w:tcPr/>
          <w:p>
            <w:pPr>
              <w:spacing w:after="40"/>
            </w:pPr>
            <w:r>
              <w:rPr>
                <w:rFonts w:ascii="Arial" w:hAnsi="Arial"/>
                <w:sz w:val="18"/>
              </w:rPr>
              <w:t>Release 1</w:t>
            </w:r>
          </w:p>
        </w:tc>
      </w:tr>
      <w:tr>
        <w:trPr>
          <w:cantSplit w:val="0"/>
          <w:trHeight w:val="388" w:hRule="atLeast"/>
          <w:tblHeader w:val="0"/>
        </w:trPr>
        <w:tc>
          <w:tcPr/>
          <w:p>
            <w:pPr>
              <w:spacing w:after="40"/>
            </w:pPr>
            <w:r>
              <w:rPr>
                <w:rFonts w:ascii="Arial" w:hAnsi="Arial"/>
                <w:sz w:val="18"/>
              </w:rPr>
              <w:t>Reviewer</w:t>
            </w:r>
          </w:p>
        </w:tc>
        <w:tc>
          <w:tcPr/>
          <w:p>
            <w:pPr>
              <w:spacing w:after="40"/>
            </w:pPr>
            <w:r>
              <w:rPr>
                <w:rFonts w:ascii="Arial" w:hAnsi="Arial"/>
                <w:sz w:val="18"/>
              </w:rPr>
              <w:t>Understand limitations</w:t>
            </w:r>
          </w:p>
        </w:tc>
        <w:tc>
          <w:tcPr/>
          <w:p>
            <w:pPr>
              <w:spacing w:after="40"/>
            </w:pPr>
            <w:r>
              <w:rPr>
                <w:rFonts w:ascii="Arial" w:hAnsi="Arial"/>
                <w:sz w:val="18"/>
              </w:rPr>
              <w:t>USN-9</w:t>
            </w:r>
          </w:p>
        </w:tc>
        <w:tc>
          <w:tcPr/>
          <w:p>
            <w:pPr>
              <w:spacing w:after="40"/>
            </w:pPr>
            <w:r>
              <w:rPr>
                <w:rFonts w:ascii="Arial" w:hAnsi="Arial"/>
                <w:sz w:val="18"/>
              </w:rPr>
              <w:t>As a reviewer, I can find the dataset scope and known limitations in the project documentation.</w:t>
            </w:r>
          </w:p>
        </w:tc>
        <w:tc>
          <w:tcPr/>
          <w:p>
            <w:pPr>
              <w:spacing w:after="40"/>
            </w:pPr>
            <w:r>
              <w:rPr>
                <w:rFonts w:ascii="Arial" w:hAnsi="Arial"/>
                <w:sz w:val="18"/>
              </w:rPr>
              <w:t>Scope and limitations section is present.</w:t>
            </w:r>
          </w:p>
        </w:tc>
        <w:tc>
          <w:tcPr/>
          <w:p>
            <w:pPr>
              <w:spacing w:after="40"/>
            </w:pPr>
            <w:r>
              <w:rPr>
                <w:rFonts w:ascii="Arial" w:hAnsi="Arial"/>
                <w:sz w:val="18"/>
              </w:rPr>
              <w:t>Medium</w:t>
            </w:r>
          </w:p>
        </w:tc>
        <w:tc>
          <w:tcPr/>
          <w:p>
            <w:pPr>
              <w:spacing w:after="40"/>
            </w:pPr>
            <w:r>
              <w:rPr>
                <w:rFonts w:ascii="Arial" w:hAnsi="Arial"/>
                <w:sz w:val="18"/>
              </w:rPr>
              <w:t>Release 1</w:t>
            </w:r>
          </w:p>
        </w:tc>
      </w:tr>
      <w:tr>
        <w:trPr>
          <w:cantSplit w:val="0"/>
          <w:trHeight w:val="404" w:hRule="atLeast"/>
          <w:tblHeader w:val="0"/>
        </w:trPr>
        <w:tc>
          <w:tcPr/>
          <w:p>
            <w:pPr>
              <w:spacing w:after="40"/>
            </w:pPr>
            <w:r>
              <w:rPr>
                <w:rFonts w:ascii="Arial" w:hAnsi="Arial"/>
                <w:sz w:val="18"/>
              </w:rPr>
              <w:t>Administrator / owner</w:t>
            </w:r>
          </w:p>
        </w:tc>
        <w:tc>
          <w:tcPr/>
          <w:p>
            <w:pPr>
              <w:spacing w:after="40"/>
            </w:pPr>
            <w:r>
              <w:rPr>
                <w:rFonts w:ascii="Arial" w:hAnsi="Arial"/>
                <w:sz w:val="18"/>
              </w:rPr>
              <w:t>Publish updates</w:t>
            </w:r>
          </w:p>
        </w:tc>
        <w:tc>
          <w:tcPr/>
          <w:p>
            <w:pPr>
              <w:spacing w:after="40"/>
            </w:pPr>
            <w:r>
              <w:rPr>
                <w:rFonts w:ascii="Arial" w:hAnsi="Arial"/>
                <w:sz w:val="18"/>
              </w:rPr>
              <w:t>USN-10</w:t>
            </w:r>
          </w:p>
        </w:tc>
        <w:tc>
          <w:tcPr/>
          <w:p>
            <w:pPr>
              <w:spacing w:after="40"/>
            </w:pPr>
            <w:r>
              <w:rPr>
                <w:rFonts w:ascii="Arial" w:hAnsi="Arial"/>
                <w:sz w:val="18"/>
              </w:rPr>
              <w:t>As the owner, I can publish an updated dashboard or Story to Tableau Public.</w:t>
            </w:r>
          </w:p>
        </w:tc>
        <w:tc>
          <w:tcPr/>
          <w:p>
            <w:pPr>
              <w:spacing w:after="40"/>
            </w:pPr>
            <w:r>
              <w:rPr>
                <w:rFonts w:ascii="Arial" w:hAnsi="Arial"/>
                <w:sz w:val="18"/>
              </w:rPr>
              <w:t>Published URLs open without required viewer sign-in.</w:t>
            </w:r>
          </w:p>
        </w:tc>
        <w:tc>
          <w:tcPr/>
          <w:p>
            <w:pPr>
              <w:spacing w:after="40"/>
            </w:pPr>
            <w:r>
              <w:rPr>
                <w:rFonts w:ascii="Arial" w:hAnsi="Arial"/>
                <w:sz w:val="18"/>
              </w:rPr>
              <w:t>High</w:t>
            </w:r>
          </w:p>
        </w:tc>
        <w:tc>
          <w:tcPr/>
          <w:p>
            <w:pPr>
              <w:spacing w:after="40"/>
            </w:pPr>
            <w:r>
              <w:rPr>
                <w:rFonts w:ascii="Arial" w:hAnsi="Arial"/>
                <w:sz w:val="18"/>
              </w:rPr>
              <w:t>Release 1</w:t>
            </w:r>
          </w:p>
        </w:tc>
      </w:tr>
      <w:tr>
        <w:trPr>
          <w:cantSplit w:val="0"/>
          <w:trHeight w:val="404" w:hRule="atLeast"/>
          <w:tblHeader w:val="0"/>
        </w:trPr>
        <w:tc>
          <w:tcPr/>
          <w:p>
            <w:pPr>
              <w:spacing w:after="40"/>
            </w:pPr>
            <w:r>
              <w:rPr>
                <w:rFonts w:ascii="Arial" w:hAnsi="Arial"/>
                <w:sz w:val="18"/>
              </w:rPr>
              <w:t>Viewer / analyst</w:t>
            </w:r>
          </w:p>
        </w:tc>
        <w:tc>
          <w:tcPr/>
          <w:p>
            <w:pPr>
              <w:spacing w:after="40"/>
            </w:pPr>
            <w:r>
              <w:rPr>
                <w:rFonts w:ascii="Arial" w:hAnsi="Arial"/>
                <w:sz w:val="18"/>
              </w:rPr>
              <w:t>Responsive access</w:t>
            </w:r>
          </w:p>
        </w:tc>
        <w:tc>
          <w:tcPr/>
          <w:p>
            <w:pPr>
              <w:spacing w:after="40"/>
            </w:pPr>
            <w:r>
              <w:rPr>
                <w:rFonts w:ascii="Arial" w:hAnsi="Arial"/>
                <w:sz w:val="18"/>
              </w:rPr>
              <w:t>USN-11</w:t>
            </w:r>
          </w:p>
        </w:tc>
        <w:tc>
          <w:tcPr/>
          <w:p>
            <w:pPr>
              <w:spacing w:after="40"/>
            </w:pPr>
            <w:r>
              <w:rPr>
                <w:rFonts w:ascii="Arial" w:hAnsi="Arial"/>
                <w:sz w:val="18"/>
              </w:rPr>
              <w:t>As a viewer, I can read the project site on a common desktop or mobile browser.</w:t>
            </w:r>
          </w:p>
        </w:tc>
        <w:tc>
          <w:tcPr/>
          <w:p>
            <w:pPr>
              <w:spacing w:after="40"/>
            </w:pPr>
            <w:r>
              <w:rPr>
                <w:rFonts w:ascii="Arial" w:hAnsi="Arial"/>
                <w:sz w:val="18"/>
              </w:rPr>
              <w:t>Text/navigation remain usable at narrow widths.</w:t>
            </w:r>
          </w:p>
        </w:tc>
        <w:tc>
          <w:tcPr/>
          <w:p>
            <w:pPr>
              <w:spacing w:after="40"/>
            </w:pPr>
            <w:r>
              <w:rPr>
                <w:rFonts w:ascii="Arial" w:hAnsi="Arial"/>
                <w:sz w:val="18"/>
              </w:rPr>
              <w:t>Medium</w:t>
            </w:r>
          </w:p>
        </w:tc>
        <w:tc>
          <w:tcPr/>
          <w:p>
            <w:pPr>
              <w:spacing w:after="40"/>
            </w:pPr>
            <w:r>
              <w:rPr>
                <w:rFonts w:ascii="Arial" w:hAnsi="Arial"/>
                <w:sz w:val="18"/>
              </w:rPr>
              <w:t>Release 1</w:t>
            </w:r>
          </w:p>
        </w:tc>
      </w:tr>
      <w:tr>
        <w:trPr>
          <w:cantSplit w:val="0"/>
          <w:trHeight w:val="404" w:hRule="atLeast"/>
          <w:tblHeader w:val="0"/>
        </w:trPr>
        <w:tc>
          <w:tcPr/>
          <w:p>
            <w:pPr>
              <w:spacing w:after="40"/>
            </w:pPr>
            <w:r>
              <w:rPr>
                <w:rFonts w:ascii="Arial" w:hAnsi="Arial"/>
                <w:sz w:val="18"/>
              </w:rPr>
              <w:t>Project owner</w:t>
            </w:r>
          </w:p>
        </w:tc>
        <w:tc>
          <w:tcPr/>
          <w:p>
            <w:pPr>
              <w:spacing w:after="40"/>
            </w:pPr>
            <w:r>
              <w:rPr>
                <w:rFonts w:ascii="Arial" w:hAnsi="Arial"/>
                <w:sz w:val="18"/>
              </w:rPr>
              <w:t>Evidence and report</w:t>
            </w:r>
          </w:p>
        </w:tc>
        <w:tc>
          <w:tcPr/>
          <w:p>
            <w:pPr>
              <w:spacing w:after="40"/>
            </w:pPr>
            <w:r>
              <w:rPr>
                <w:rFonts w:ascii="Arial" w:hAnsi="Arial"/>
                <w:sz w:val="18"/>
              </w:rPr>
              <w:t>USN-12</w:t>
            </w:r>
          </w:p>
        </w:tc>
        <w:tc>
          <w:tcPr/>
          <w:p>
            <w:pPr>
              <w:spacing w:after="40"/>
            </w:pPr>
            <w:r>
              <w:rPr>
                <w:rFonts w:ascii="Arial" w:hAnsi="Arial"/>
                <w:sz w:val="18"/>
              </w:rPr>
              <w:t>As the owner, I can keep the project report, testing evidence, and demo recording organized.</w:t>
            </w:r>
          </w:p>
        </w:tc>
        <w:tc>
          <w:tcPr/>
          <w:p>
            <w:pPr>
              <w:spacing w:after="40"/>
            </w:pPr>
            <w:r>
              <w:rPr>
                <w:rFonts w:ascii="Arial" w:hAnsi="Arial"/>
                <w:sz w:val="18"/>
              </w:rPr>
              <w:t>Evidence files and links are listed in README.</w:t>
            </w:r>
          </w:p>
        </w:tc>
        <w:tc>
          <w:tcPr/>
          <w:p>
            <w:pPr>
              <w:spacing w:after="40"/>
            </w:pPr>
            <w:r>
              <w:rPr>
                <w:rFonts w:ascii="Arial" w:hAnsi="Arial"/>
                <w:sz w:val="18"/>
              </w:rPr>
              <w:t>High</w:t>
            </w:r>
          </w:p>
        </w:tc>
        <w:tc>
          <w:tcPr/>
          <w:p>
            <w:pPr>
              <w:spacing w:after="40"/>
            </w:pPr>
            <w:r>
              <w:rPr>
                <w:rFonts w:ascii="Arial" w:hAnsi="Arial"/>
                <w:sz w:val="18"/>
              </w:rPr>
              <w:t>Release 1</w:t>
            </w:r>
          </w:p>
        </w:tc>
      </w:tr>
    </w:tbl>
    <w:p w:rsidR="00000000" w:rsidDel="00000000" w:rsidP="00000000" w:rsidRDefault="00000000" w:rsidRPr="00000000" w14:paraId="0000008A">
      <w:pPr>
        <w:rPr>
          <w:rFonts w:ascii="Arial" w:cs="Arial" w:eastAsia="Arial" w:hAnsi="Arial"/>
        </w:rPr>
      </w:pPr>
      <w:r w:rsidDel="00000000" w:rsidR="00000000" w:rsidRPr="00000000">
        <w:rPr>
          <w:rtl w:val="0"/>
        </w:rPr>
      </w:r>
    </w:p>
    <w:p>
      <w:pPr>
        <w:pStyle w:val="Heading2"/>
      </w:pPr>
      <w:r>
        <w:t>Data Flow Diagram (DFD) — textual representation</w:t>
      </w:r>
    </w:p>
    <w:p>
      <w:pPr>
        <w:spacing w:after="100"/>
      </w:pPr>
      <w:r>
        <w:t>External entity: Viewer/Reviewer. Data flow: source CSV → data-quality checks and standardization → Tableau Desktop data source and calculated fields → Tableau worksheets/dashboard/Story → Tableau Public → embedded presentation page or direct public link → viewer. The confirmed implementation uses a CSV file and Tableau; it does not include a Snowflake database or separate SQL warehouse.</w:t>
      </w:r>
    </w:p>
    <w:p>
      <w:r>
        <w:drawing>
          <wp:inline>
            <wp:extent cx="5852160" cy="6442509"/>
            <wp:docPr id="16" name="Picture 16"/>
            <wp:cNvGraphicFramePr>
              <a:graphicFrameLocks noChangeAspect="1"/>
            </wp:cNvGraphicFramePr>
            <a:graphic>
              <a:graphicData uri="http://schemas.openxmlformats.org/drawingml/2006/picture">
                <pic:pic>
                  <pic:nvPicPr>
                    <pic:cNvPr id="0" name="solution_architecture.png"/>
                    <pic:cNvPicPr/>
                  </pic:nvPicPr>
                  <pic:blipFill>
                    <a:blip r:embed="rId10"/>
                    <a:stretch>
                      <a:fillRect/>
                    </a:stretch>
                  </pic:blipFill>
                  <pic:spPr>
                    <a:xfrm>
                      <a:off x="0" y="0"/>
                      <a:ext cx="5852160" cy="6442509"/>
                    </a:xfrm>
                    <a:prstGeom prst="rect"/>
                  </pic:spPr>
                </pic:pic>
              </a:graphicData>
            </a:graphic>
          </wp:inline>
        </w:drawing>
      </w:r>
    </w:p>
    <w:sectPr>
      <w:headerReference r:id="rId9" w:type="default"/>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drawing>
        <wp:anchor allowOverlap="1" behindDoc="0" distB="114300" distT="114300" distL="114300" distR="114300" hidden="0" layoutInCell="1" locked="0" relativeHeight="0" simplePos="0">
          <wp:simplePos x="0" y="0"/>
          <wp:positionH relativeFrom="page">
            <wp:posOffset>9667875</wp:posOffset>
          </wp:positionH>
          <wp:positionV relativeFrom="page">
            <wp:posOffset>259080</wp:posOffset>
          </wp:positionV>
          <wp:extent cx="864691" cy="395288"/>
          <wp:effectExtent b="0" l="0" r="0" t="0"/>
          <wp:wrapNone/>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161925</wp:posOffset>
          </wp:positionH>
          <wp:positionV relativeFrom="page">
            <wp:posOffset>163830</wp:posOffset>
          </wp:positionV>
          <wp:extent cx="1376363" cy="589870"/>
          <wp:effectExtent b="0" l="0" r="0" t="0"/>
          <wp:wrapNone/>
          <wp:docPr id="13"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 Id="rId10"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2UA4n8X436z+KIVaFzPrelqaDg==">CgMxLjA4AHIhMTNMS2NOZlQxSVVPaXpJRGpWWFRJcFBVcjRFMFk0NFQx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