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Access &amp; Integration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Load the structured CSV source `global_fuel_prices_Dataset.csv` into Tableau with the 10 fields used by the workbook.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Processing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Check missing values, country-date duplicates, region mapping, categorical consistency, temporal ordering, and outliers.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Business Analysis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Calculate average fuel price, petrol-diesel price difference, unique countries/dates, and data-quality flags.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Analytical Outputs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Provide geographic maps, time-trend charts, taxation comparison, country comparison, KPI cards, and the seven-scene Story.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 Interaction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Provide working Date, Region, Income Level, and Subsidy Level filters in the tested dashboard.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FR-6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Publishing &amp; Reporting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 dashboard and Story on Tableau Public and make them accessible via a web interface/direct links. Data updates require refresh and republishing as applicable.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Usability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Readable titles, labels, units, navigation, and a clear separation between dashboard and Story.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Published Tableau Public content is publicly accessible; do not include confidential or sensitive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Published links should open; charts and filters should render and update without blank/error states.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Observed initial load was 5 seconds; single-filter response about 4 seconds; two-filter response about 5 seconds in the tested session.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Public hosting and network access are required for embedded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NFR-6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Current project is a student-scale CSV/Tableau solution; larger data and multiple users may require a governed data source and optimized hosting.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