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Solution architecture is a complex process – with many sub-processes – that bridges the gap between business problems and technology solutions. Its goals are to:</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sidDel="00000000" w:rsidR="00000000" w:rsidRPr="00000000">
        <w:rPr>
          <w:rFonts w:ascii="Arial" w:cs="Arial" w:eastAsia="Arial" w:hAnsi="Arial"/>
          <w:color w:val="000000"/>
          <w:sz w:val="24"/>
          <w:szCs w:val="24"/>
          <w:rtl w:val="0"/>
        </w:rPr>
        <w:t xml:space="preserve">Find the best tech solution to solve existing business problems.</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Describe the structure, characteristics, behavior, and other aspects of the software to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Define features, development phases, and solution requirements.</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sidDel="00000000" w:rsidR="00000000" w:rsidRPr="00000000">
        <w:rPr>
          <w:rFonts w:ascii="Arial" w:cs="Arial" w:eastAsia="Arial" w:hAnsi="Arial"/>
          <w:color w:val="000000"/>
          <w:sz w:val="24"/>
          <w:szCs w:val="24"/>
          <w:rtl w:val="0"/>
        </w:rPr>
        <w:t xml:space="preserve">Provide specifications according to which the solution is defined, managed, and delivered.</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w:cs="Arial" w:eastAsia="Arial" w:hAnsi="Arial"/>
          <w:b w:val="1"/>
          <w:bCs w:val="1"/>
          <w:sz w:val="24"/>
          <w:szCs w:val="24"/>
          <w:rtl w:val="0"/>
        </w:rPr>
        <w:t xml:space="preserve">Sample </w:t>
      </w:r>
      <w:r w:rsidDel="00000000" w:rsidR="00000000" w:rsidRPr="00000000">
        <w:rPr>
          <w:rFonts w:ascii="Arial" w:cs="Arial" w:eastAsia="Arial" w:hAnsi="Arial"/>
          <w:b w:val="1"/>
          <w:bCs w:val="1"/>
          <w:color w:val="000000"/>
          <w:sz w:val="24"/>
          <w:szCs w:val="24"/>
          <w:rtl w:val="0"/>
        </w:rPr>
        <w:t xml:space="preserve">Solution Architecture Diagram</w:t>
      </w:r>
      <w:r w:rsidDel="00000000" w:rsidR="00000000" w:rsidRPr="00000000">
        <w:rPr>
          <w:b w:val="1"/>
          <w:bCs w:val="1"/>
          <w:rtl w:val="0"/>
        </w:rPr>
        <w:t xml:space="preserve">: </w:t>
      </w:r>
    </w:p>
    <w:p w:rsidR="00000000" w:rsidDel="00000000" w:rsidP="00000000" w:rsidRDefault="00000000" w:rsidRPr="00000000" w14:paraId="00000015">
      <w:pPr>
        <w:tabs>
          <w:tab w:val="left" w:leader="none" w:pos="5529"/>
        </w:tabs>
        <w:ind w:left="2160" w:firstLine="0"/>
        <w:rPr>
          <w:b w:val="1"/>
          <w:bCs w:val="1"/>
        </w:rPr>
      </w:pPr>
      <w:r w:rsidDel="00000000" w:rsidR="00000000" w:rsidRPr="00000000">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7"/>
                    <a:srcRect b="0" l="0" r="0" t="7066"/>
                    <a:stretch>
                      <a:fillRect/>
                    </a:stretch>
                  </pic:blipFill>
                  <pic:spPr>
                    <a:xfrm>
                      <a:off x="0" y="0"/>
                      <a:ext cx="2914650" cy="40651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Component Description Table</w:t>
      </w:r>
    </w:p>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sidDel="00000000" w:rsidR="00000000" w:rsidRPr="00000000">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pPr>
        <w:pStyle w:val="Heading2"/>
      </w:pPr>
      <w:r>
        <w:t>Implemented architecture</w:t>
      </w:r>
    </w:p>
    <w:p>
      <w:pPr>
        <w:spacing w:after="100"/>
      </w:pPr>
      <w:r>
        <w:t>The current implementation is a file-based analytical workflow. The source CSV is connected to Tableau Desktop; data-quality calculations and visualizations are authored in the workbook; the final dashboard and Story are published separately to Tableau Public; the project website provides a presentation layer with navigation and embedded views/direct links.</w:t>
      </w:r>
    </w:p>
    <w:p>
      <w:r>
        <w:drawing>
          <wp:inline>
            <wp:extent cx="5715000" cy="6291513"/>
            <wp:docPr id="4" name="Picture 4"/>
            <wp:cNvGraphicFramePr>
              <a:graphicFrameLocks noChangeAspect="1"/>
            </wp:cNvGraphicFramePr>
            <a:graphic>
              <a:graphicData uri="http://schemas.openxmlformats.org/drawingml/2006/picture">
                <pic:pic>
                  <pic:nvPicPr>
                    <pic:cNvPr id="0" name="solution_architecture.png"/>
                    <pic:cNvPicPr/>
                  </pic:nvPicPr>
                  <pic:blipFill>
                    <a:blip r:embed="rId9"/>
                    <a:stretch>
                      <a:fillRect/>
                    </a:stretch>
                  </pic:blipFill>
                  <pic:spPr>
                    <a:xfrm>
                      <a:off x="0" y="0"/>
                      <a:ext cx="5715000" cy="6291513"/>
                    </a:xfrm>
                    <a:prstGeom prst="rect"/>
                  </pic:spPr>
                </pic:pic>
              </a:graphicData>
            </a:graphic>
          </wp:inline>
        </w:drawing>
      </w:r>
    </w:p>
    <w:p>
      <w:pPr>
        <w:jc w:val="center"/>
      </w:pPr>
      <w:r>
        <w:t>Figure 1. Current solution architecture (CSV → Tableau Desktop → Tableau Public → Flask/HTML presentation).</w:t>
      </w:r>
    </w:p>
    <w:tbl>
      <w:tblPr>
        <w:tblW w:type="auto" w:w="0"/>
        <w:tblLook w:firstColumn="1" w:firstRow="1" w:lastColumn="0" w:lastRow="0" w:noHBand="0" w:noVBand="1" w:val="04A0"/>
        <w:jc w:val="center"/>
        <w:tblBorders>
          <w:top w:val="single" w:sz="4" w:space="0" w:color="B7D5E8"/>
          <w:left w:val="single" w:sz="4" w:space="0" w:color="B7D5E8"/>
          <w:bottom w:val="single" w:sz="4" w:space="0" w:color="B7D5E8"/>
          <w:right w:val="single" w:sz="4" w:space="0" w:color="B7D5E8"/>
          <w:insideH w:val="single" w:sz="4" w:space="0" w:color="B7D5E8"/>
          <w:insideV w:val="single" w:sz="4" w:space="0" w:color="B7D5E8"/>
        </w:tblBorders>
      </w:tblPr>
      <w:tblGrid>
        <w:gridCol w:w="3009"/>
        <w:gridCol w:w="3009"/>
        <w:gridCol w:w="3009"/>
      </w:tblGrid>
      <w:tr>
        <w:trPr>
          <w:cantSplit/>
        </w:trPr>
        <w:tc>
          <w:tcPr>
            <w:tcW w:type="dxa" w:w="3009"/>
          </w:tcPr>
          <w:p>
            <w:pPr>
              <w:spacing w:after="40"/>
            </w:pPr>
            <w:r>
              <w:rPr>
                <w:rFonts w:ascii="Arial" w:hAnsi="Arial"/>
                <w:b/>
                <w:sz w:val="18"/>
              </w:rPr>
              <w:t>Component</w:t>
            </w:r>
          </w:p>
        </w:tc>
        <w:tc>
          <w:tcPr>
            <w:tcW w:type="dxa" w:w="3009"/>
          </w:tcPr>
          <w:p>
            <w:pPr>
              <w:spacing w:after="40"/>
            </w:pPr>
            <w:r>
              <w:rPr>
                <w:rFonts w:ascii="Arial" w:hAnsi="Arial"/>
                <w:b/>
                <w:sz w:val="18"/>
              </w:rPr>
              <w:t>Responsibility</w:t>
            </w:r>
          </w:p>
        </w:tc>
        <w:tc>
          <w:tcPr>
            <w:tcW w:type="dxa" w:w="3009"/>
          </w:tcPr>
          <w:p>
            <w:pPr>
              <w:spacing w:after="40"/>
            </w:pPr>
            <w:r>
              <w:rPr>
                <w:rFonts w:ascii="Arial" w:hAnsi="Arial"/>
                <w:b/>
                <w:sz w:val="18"/>
              </w:rPr>
              <w:t>Current status</w:t>
            </w:r>
          </w:p>
        </w:tc>
      </w:tr>
      <w:tr>
        <w:trPr>
          <w:cantSplit/>
        </w:trPr>
        <w:tc>
          <w:tcPr>
            <w:tcW w:type="dxa" w:w="3009"/>
          </w:tcPr>
          <w:p>
            <w:pPr>
              <w:spacing w:after="40"/>
            </w:pPr>
            <w:r>
              <w:rPr>
                <w:rFonts w:ascii="Arial" w:hAnsi="Arial"/>
                <w:sz w:val="18"/>
              </w:rPr>
              <w:t>CSV source</w:t>
            </w:r>
          </w:p>
        </w:tc>
        <w:tc>
          <w:tcPr>
            <w:tcW w:type="dxa" w:w="3009"/>
          </w:tcPr>
          <w:p>
            <w:pPr>
              <w:spacing w:after="40"/>
            </w:pPr>
            <w:r>
              <w:rPr>
                <w:rFonts w:ascii="Arial" w:hAnsi="Arial"/>
                <w:sz w:val="18"/>
              </w:rPr>
              <w:t>Stores fuel-price and taxation records</w:t>
            </w:r>
          </w:p>
        </w:tc>
        <w:tc>
          <w:tcPr>
            <w:tcW w:type="dxa" w:w="3009"/>
          </w:tcPr>
          <w:p>
            <w:pPr>
              <w:spacing w:after="40"/>
            </w:pPr>
            <w:r>
              <w:rPr>
                <w:rFonts w:ascii="Arial" w:hAnsi="Arial"/>
                <w:sz w:val="18"/>
              </w:rPr>
              <w:t>Used by Tableau workbook; external source URL not supplied.</w:t>
            </w:r>
          </w:p>
        </w:tc>
      </w:tr>
      <w:tr>
        <w:trPr>
          <w:cantSplit/>
        </w:trPr>
        <w:tc>
          <w:tcPr>
            <w:tcW w:type="dxa" w:w="3009"/>
          </w:tcPr>
          <w:p>
            <w:pPr>
              <w:spacing w:after="40"/>
            </w:pPr>
            <w:r>
              <w:rPr>
                <w:rFonts w:ascii="Arial" w:hAnsi="Arial"/>
                <w:sz w:val="18"/>
              </w:rPr>
              <w:t>Data quality checks</w:t>
            </w:r>
          </w:p>
        </w:tc>
        <w:tc>
          <w:tcPr>
            <w:tcW w:type="dxa" w:w="3009"/>
          </w:tcPr>
          <w:p>
            <w:pPr>
              <w:spacing w:after="40"/>
            </w:pPr>
            <w:r>
              <w:rPr>
                <w:rFonts w:ascii="Arial" w:hAnsi="Arial"/>
                <w:sz w:val="18"/>
              </w:rPr>
              <w:t>Flags missing values, possible country-date duplicates, region inconsistencies, outliers, temporal organization and category standardization</w:t>
            </w:r>
          </w:p>
        </w:tc>
        <w:tc>
          <w:tcPr>
            <w:tcW w:type="dxa" w:w="3009"/>
          </w:tcPr>
          <w:p>
            <w:pPr>
              <w:spacing w:after="40"/>
            </w:pPr>
            <w:r>
              <w:rPr>
                <w:rFonts w:ascii="Arial" w:hAnsi="Arial"/>
                <w:sz w:val="18"/>
              </w:rPr>
              <w:t>Diagnostic worksheets/calculated fields present in workbook.</w:t>
            </w:r>
          </w:p>
        </w:tc>
      </w:tr>
      <w:tr>
        <w:trPr>
          <w:cantSplit/>
        </w:trPr>
        <w:tc>
          <w:tcPr>
            <w:tcW w:type="dxa" w:w="3009"/>
          </w:tcPr>
          <w:p>
            <w:pPr>
              <w:spacing w:after="40"/>
            </w:pPr>
            <w:r>
              <w:rPr>
                <w:rFonts w:ascii="Arial" w:hAnsi="Arial"/>
                <w:sz w:val="18"/>
              </w:rPr>
              <w:t>Tableau Desktop</w:t>
            </w:r>
          </w:p>
        </w:tc>
        <w:tc>
          <w:tcPr>
            <w:tcW w:type="dxa" w:w="3009"/>
          </w:tcPr>
          <w:p>
            <w:pPr>
              <w:spacing w:after="40"/>
            </w:pPr>
            <w:r>
              <w:rPr>
                <w:rFonts w:ascii="Arial" w:hAnsi="Arial"/>
                <w:sz w:val="18"/>
              </w:rPr>
              <w:t>Builds calculations, sheets, dashboard and Story</w:t>
            </w:r>
          </w:p>
        </w:tc>
        <w:tc>
          <w:tcPr>
            <w:tcW w:type="dxa" w:w="3009"/>
          </w:tcPr>
          <w:p>
            <w:pPr>
              <w:spacing w:after="40"/>
            </w:pPr>
            <w:r>
              <w:rPr>
                <w:rFonts w:ascii="Arial" w:hAnsi="Arial"/>
                <w:sz w:val="18"/>
              </w:rPr>
              <w:t>Workbook file supplied and inspected.</w:t>
            </w:r>
          </w:p>
        </w:tc>
      </w:tr>
      <w:tr>
        <w:trPr>
          <w:cantSplit/>
        </w:trPr>
        <w:tc>
          <w:tcPr>
            <w:tcW w:type="dxa" w:w="3009"/>
          </w:tcPr>
          <w:p>
            <w:pPr>
              <w:spacing w:after="40"/>
            </w:pPr>
            <w:r>
              <w:rPr>
                <w:rFonts w:ascii="Arial" w:hAnsi="Arial"/>
                <w:sz w:val="18"/>
              </w:rPr>
              <w:t>Tableau Public</w:t>
            </w:r>
          </w:p>
        </w:tc>
        <w:tc>
          <w:tcPr>
            <w:tcW w:type="dxa" w:w="3009"/>
          </w:tcPr>
          <w:p>
            <w:pPr>
              <w:spacing w:after="40"/>
            </w:pPr>
            <w:r>
              <w:rPr>
                <w:rFonts w:ascii="Arial" w:hAnsi="Arial"/>
                <w:sz w:val="18"/>
              </w:rPr>
              <w:t>Hosts published dashboard and Story</w:t>
            </w:r>
          </w:p>
        </w:tc>
        <w:tc>
          <w:tcPr>
            <w:tcW w:type="dxa" w:w="3009"/>
          </w:tcPr>
          <w:p>
            <w:pPr>
              <w:spacing w:after="40"/>
            </w:pPr>
            <w:r>
              <w:rPr>
                <w:rFonts w:ascii="Arial" w:hAnsi="Arial"/>
                <w:sz w:val="18"/>
              </w:rPr>
              <w:t>Both public links provided by user and checked.</w:t>
            </w:r>
          </w:p>
        </w:tc>
      </w:tr>
      <w:tr>
        <w:trPr>
          <w:cantSplit/>
        </w:trPr>
        <w:tc>
          <w:tcPr>
            <w:tcW w:type="dxa" w:w="3009"/>
          </w:tcPr>
          <w:p>
            <w:pPr>
              <w:spacing w:after="40"/>
            </w:pPr>
            <w:r>
              <w:rPr>
                <w:rFonts w:ascii="Arial" w:hAnsi="Arial"/>
                <w:sz w:val="18"/>
              </w:rPr>
              <w:t>Flask/HTML interface</w:t>
            </w:r>
          </w:p>
        </w:tc>
        <w:tc>
          <w:tcPr>
            <w:tcW w:type="dxa" w:w="3009"/>
          </w:tcPr>
          <w:p>
            <w:pPr>
              <w:spacing w:after="40"/>
            </w:pPr>
            <w:r>
              <w:rPr>
                <w:rFonts w:ascii="Arial" w:hAnsi="Arial"/>
                <w:sz w:val="18"/>
              </w:rPr>
              <w:t>Project overview and embedded views/navigation</w:t>
            </w:r>
          </w:p>
        </w:tc>
        <w:tc>
          <w:tcPr>
            <w:tcW w:type="dxa" w:w="3009"/>
          </w:tcPr>
          <w:p>
            <w:pPr>
              <w:spacing w:after="40"/>
            </w:pPr>
            <w:r>
              <w:rPr>
                <w:rFonts w:ascii="Arial" w:hAnsi="Arial"/>
                <w:sz w:val="18"/>
              </w:rPr>
              <w:t>User has integrated website template and map hero; final local execution is user-verified.</w:t>
            </w:r>
          </w:p>
        </w:tc>
      </w:tr>
    </w:tbl>
    <w:p>
      <w:pPr>
        <w:pStyle w:val="Heading2"/>
      </w:pPr>
      <w:r>
        <w:t>Architecture boundary</w:t>
      </w:r>
    </w:p>
    <w:p>
      <w:pPr>
        <w:spacing w:after="100"/>
      </w:pPr>
      <w:r>
        <w:t>No separate Snowflake/MySQL database or production ETL service is evidenced in the delivered workbook. The public views are static as to data freshness until the underlying data is refreshed and the relevant Tableau view is republished.</w:t>
      </w:r>
    </w:p>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