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pPr>
              <w:spacing w:after="40"/>
            </w:pPr>
            <w:r>
              <w:rPr>
                <w:rFonts w:ascii="Arial" w:hAnsi="Arial"/>
                <w:sz w:val="18"/>
              </w:rPr>
              <w:t>25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pPr>
              <w:spacing w:after="40"/>
            </w:pPr>
            <w:r>
              <w:rPr>
                <w:rFonts w:ascii="Arial" w:hAnsi="Arial"/>
                <w:sz w:val="18"/>
              </w:rPr>
              <w:t>Individual project; official Team ID not provided</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pPr>
              <w:spacing w:after="40"/>
            </w:pPr>
            <w:r>
              <w:rPr>
                <w:rFonts w:ascii="Arial" w:hAnsi="Arial"/>
                <w:sz w:val="18"/>
              </w:rPr>
              <w:t>Global Fuel Prices and Taxation Trends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ind w:left="-180" w:firstLine="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900"/>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180" w:firstLine="0"/>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The process involves defining specific business questions to guide the creation of meaningful and actionable visualizations using data stored in Snowflake. Well-framed business questions help identify the required metrics, determine the appropriate Snowflake tables or analytical views, select relevant data, and create visualizations that provide useful business insights. </w:t>
      </w:r>
      <w:r w:rsidDel="00000000" w:rsidR="00000000" w:rsidRPr="00000000">
        <w:rPr>
          <w:rtl w:val="0"/>
        </w:rPr>
      </w:r>
    </w:p>
    <w:p w:rsidR="00000000" w:rsidDel="00000000" w:rsidP="00000000" w:rsidRDefault="00000000" w:rsidRPr="00000000" w14:paraId="0000000F">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Sample </w:t>
      </w:r>
      <w:r w:rsidDel="00000000" w:rsidR="00000000" w:rsidRPr="00000000">
        <w:rPr>
          <w:rtl w:val="0"/>
        </w:rPr>
      </w:r>
    </w:p>
    <w:p w:rsidR="00000000" w:rsidDel="00000000" w:rsidP="00000000" w:rsidRDefault="00000000" w:rsidRPr="00000000" w14:paraId="00000010">
      <w:pPr>
        <w:numPr>
          <w:ilvl w:val="0"/>
          <w:numId w:val="1"/>
        </w:numPr>
        <w:tabs>
          <w:tab w:val="left" w:leader="none" w:pos="993"/>
        </w:tabs>
        <w:ind w:left="720" w:hanging="10.999999999999943"/>
        <w:rPr>
          <w:rFonts w:ascii="Cambria" w:cs="Cambria" w:eastAsia="Cambria" w:hAnsi="Cambria"/>
          <w:color w:val="000000"/>
          <w:sz w:val="24"/>
          <w:szCs w:val="24"/>
          <w:highlight w:val="white"/>
        </w:rPr>
      </w:pPr>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2">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p>
    <w:p w:rsidR="00000000" w:rsidDel="00000000" w:rsidP="00000000" w:rsidRDefault="00000000" w:rsidRPr="00000000" w14:paraId="00000017">
      <w:pPr>
        <w:numPr>
          <w:ilvl w:val="1"/>
          <w:numId w:val="1"/>
        </w:numPr>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8">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p>
      <w:pPr>
        <w:pStyle w:val="Heading2"/>
      </w:pPr>
      <w:r>
        <w:t>Applicability note</w:t>
      </w:r>
    </w:p>
    <w:p>
      <w:pPr>
        <w:spacing w:after="100"/>
      </w:pPr>
      <w:r>
        <w:t>Not applicable to the confirmed implementation. This project uses a CSV source with Tableau Desktop/Tableau Public and a Flask/HTML presentation layer. No Snowflake warehouse, Snowflake tables/views, Snowflake SQL scripts, Streamlit-on-Snowflake dashboard, or SQL query-history evidence was supplied. These requirements must not be marked completed unless a separate Snowflake implementation is actually built.</w:t>
      </w:r>
    </w:p>
    <w:p>
      <w:pPr>
        <w:pStyle w:val="Heading2"/>
      </w:pPr>
      <w:r>
        <w:t>Current project alternative</w:t>
      </w:r>
    </w:p>
    <w:p>
      <w:pPr>
        <w:spacing w:after="100"/>
      </w:pPr>
      <w:r>
        <w:t>The equivalent completed work is documented in the Tableau-specific development, dashboard/story, and performance-testing documents included in this pack. Do not substitute sample IPL/Sales examples for the actual fuel-prices project.</w:t>
      </w:r>
    </w:p>
    <w:sectPr>
      <w:headerReference r:id="rId8" w:type="default"/>
      <w:pgSz w:h="16838" w:w="11906" w:orient="portrait"/>
      <w:pgMar w:bottom="1440" w:top="1440" w:left="135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6524625</wp:posOffset>
          </wp:positionH>
          <wp:positionV relativeFrom="page">
            <wp:posOffset>219075</wp:posOffset>
          </wp:positionV>
          <wp:extent cx="864691" cy="395288"/>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vC2az85mBbt4Gztg97T/g1XraA==">CgMxLjA4AHIhMTBEaHM0N1hMV0xxRE9ib0taX3ctb3ZvQ29vazNIZmZY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