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b w:val="1"/>
          <w:bCs w:val="1"/>
          <w:sz w:val="32"/>
          <w:szCs w:val="32"/>
          <w:highlight w:val="white"/>
        </w:rPr>
      </w:pPr>
      <w:r w:rsidDel="00000000" w:rsidR="00000000" w:rsidRPr="00000000">
        <w:rPr>
          <w:rFonts w:ascii="Cambria" w:cs="Cambria" w:eastAsia="Cambria" w:hAnsi="Cambria"/>
          <w:b w:val="1"/>
          <w:bCs w:val="1"/>
          <w:sz w:val="32"/>
          <w:szCs w:val="32"/>
          <w:highlight w:val="white"/>
        </w:rPr>
        <w:drawing>
          <wp:anchor allowOverlap="1" behindDoc="0" distB="114300" distT="114300" distL="114300" distR="114300" hidden="0" layoutInCell="1" locked="0" relativeHeight="0" simplePos="0">
            <wp:simplePos x="0" y="0"/>
            <wp:positionH relativeFrom="page">
              <wp:posOffset>190500</wp:posOffset>
            </wp:positionH>
            <wp:positionV relativeFrom="page">
              <wp:posOffset>152400</wp:posOffset>
            </wp:positionV>
            <wp:extent cx="1376363" cy="589870"/>
            <wp:effectExtent b="0" l="0" r="0" t="0"/>
            <wp:wrapNone/>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highlight w:val="white"/>
          <w:rtl w:val="0"/>
        </w:rPr>
        <w:t xml:space="preserve">                                      Dashboard Design</w:t>
      </w:r>
      <w:r w:rsidDel="00000000" w:rsidR="00000000" w:rsidRPr="00000000">
        <w:rPr>
          <w:rtl w:val="0"/>
        </w:rPr>
      </w:r>
    </w:p>
    <w:p w:rsidR="00000000" w:rsidDel="00000000" w:rsidP="00000000" w:rsidRDefault="00000000" w:rsidRPr="00000000" w14:paraId="00000002">
      <w:pPr>
        <w:widowControl w:val="0"/>
        <w:spacing w:after="0" w:before="39" w:line="240" w:lineRule="auto"/>
        <w:ind w:left="2701" w:firstLine="0"/>
        <w:rPr>
          <w:b w:val="1"/>
          <w:bCs w:val="1"/>
          <w:sz w:val="28"/>
          <w:szCs w:val="28"/>
        </w:rPr>
      </w:pPr>
      <w:r w:rsidDel="00000000" w:rsidR="00000000" w:rsidRPr="00000000">
        <w:rPr>
          <w:rtl w:val="0"/>
        </w:rPr>
      </w:r>
    </w:p>
    <w:tbl>
      <w:tblPr>
        <w:tblStyle w:val="Table1"/>
        <w:tblW w:w="90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
        <w:gridCol w:w="4511"/>
        <w:tblGridChange w:id="0">
          <w:tblGrid>
            <w:gridCol w:w="4507"/>
            <w:gridCol w:w="4511"/>
          </w:tblGrid>
        </w:tblGridChange>
      </w:tblGrid>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3">
            <w:pPr>
              <w:widowControl w:val="0"/>
              <w:spacing w:after="0" w:line="240" w:lineRule="auto"/>
              <w:ind w:left="131" w:firstLine="0"/>
              <w:rPr/>
            </w:pPr>
            <w:r w:rsidDel="00000000" w:rsidR="00000000" w:rsidRPr="00000000">
              <w:rPr>
                <w:rtl w:val="0"/>
              </w:rPr>
              <w:t xml:space="preserve">Date </w:t>
            </w:r>
          </w:p>
        </w:tc>
        <w:tc>
          <w:tcPr>
            <w:shd w:fill="auto" w:val="clear"/>
            <w:tcMar>
              <w:top w:w="100.0" w:type="dxa"/>
              <w:left w:w="100.0" w:type="dxa"/>
              <w:bottom w:w="100.0" w:type="dxa"/>
              <w:right w:w="100.0" w:type="dxa"/>
            </w:tcMar>
          </w:tcPr>
          <w:p>
            <w:pPr>
              <w:spacing w:after="40"/>
            </w:pPr>
            <w:r>
              <w:rPr>
                <w:rFonts w:ascii="Arial" w:hAnsi="Arial"/>
                <w:sz w:val="18"/>
              </w:rPr>
              <w:t>25 October 2026</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5">
            <w:pPr>
              <w:widowControl w:val="0"/>
              <w:spacing w:after="0" w:line="240" w:lineRule="auto"/>
              <w:ind w:left="114" w:firstLine="0"/>
              <w:rPr/>
            </w:pPr>
            <w:r w:rsidDel="00000000" w:rsidR="00000000" w:rsidRPr="00000000">
              <w:rPr>
                <w:rtl w:val="0"/>
              </w:rPr>
              <w:t xml:space="preserve">Team ID </w:t>
            </w:r>
          </w:p>
        </w:tc>
        <w:tc>
          <w:tcPr>
            <w:shd w:fill="auto" w:val="clear"/>
            <w:tcMar>
              <w:top w:w="100.0" w:type="dxa"/>
              <w:left w:w="100.0" w:type="dxa"/>
              <w:bottom w:w="100.0" w:type="dxa"/>
              <w:right w:w="100.0" w:type="dxa"/>
            </w:tcMar>
          </w:tcPr>
          <w:p>
            <w:pPr>
              <w:spacing w:after="40"/>
            </w:pPr>
            <w:r>
              <w:rPr>
                <w:rFonts w:ascii="Arial" w:hAnsi="Arial"/>
                <w:sz w:val="18"/>
              </w:rPr>
              <w:t>Individual project; official Team ID not provided</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7">
            <w:pPr>
              <w:widowControl w:val="0"/>
              <w:spacing w:after="0" w:line="240" w:lineRule="auto"/>
              <w:ind w:left="131" w:firstLine="0"/>
              <w:rPr/>
            </w:pPr>
            <w:r w:rsidDel="00000000" w:rsidR="00000000" w:rsidRPr="00000000">
              <w:rPr>
                <w:rtl w:val="0"/>
              </w:rPr>
              <w:t xml:space="preserve">Project Name </w:t>
            </w:r>
          </w:p>
        </w:tc>
        <w:tc>
          <w:tcPr>
            <w:shd w:fill="auto" w:val="clear"/>
            <w:tcMar>
              <w:top w:w="100.0" w:type="dxa"/>
              <w:left w:w="100.0" w:type="dxa"/>
              <w:bottom w:w="100.0" w:type="dxa"/>
              <w:right w:w="100.0" w:type="dxa"/>
            </w:tcMar>
          </w:tcPr>
          <w:p>
            <w:pPr>
              <w:spacing w:after="40"/>
            </w:pPr>
            <w:r>
              <w:rPr>
                <w:rFonts w:ascii="Arial" w:hAnsi="Arial"/>
                <w:sz w:val="18"/>
              </w:rPr>
              <w:t>Global Fuel Prices and Taxation Trends</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9">
            <w:pPr>
              <w:widowControl w:val="0"/>
              <w:spacing w:after="0" w:line="240" w:lineRule="auto"/>
              <w:ind w:left="131" w:firstLine="0"/>
              <w:rPr/>
            </w:pPr>
            <w:r w:rsidDel="00000000" w:rsidR="00000000" w:rsidRPr="00000000">
              <w:rPr>
                <w:rtl w:val="0"/>
              </w:rPr>
              <w:t xml:space="preserve">Maximum Marks </w:t>
            </w:r>
          </w:p>
        </w:tc>
        <w:tc>
          <w:tcPr>
            <w:shd w:fill="auto" w:val="clear"/>
            <w:tcMar>
              <w:top w:w="100.0" w:type="dxa"/>
              <w:left w:w="100.0" w:type="dxa"/>
              <w:bottom w:w="100.0" w:type="dxa"/>
              <w:right w:w="100.0" w:type="dxa"/>
            </w:tcMar>
          </w:tcPr>
          <w:p w:rsidR="00000000" w:rsidDel="00000000" w:rsidP="00000000" w:rsidRDefault="00000000" w:rsidRPr="00000000" w14:paraId="0000000A">
            <w:pPr>
              <w:widowControl w:val="0"/>
              <w:spacing w:after="0" w:line="240" w:lineRule="auto"/>
              <w:ind w:left="125" w:firstLine="0"/>
              <w:rPr/>
            </w:pPr>
            <w:r w:rsidDel="00000000" w:rsidR="00000000" w:rsidRPr="00000000">
              <w:rPr>
                <w:rtl w:val="0"/>
              </w:rPr>
              <w:t xml:space="preserve">5  Marks</w:t>
            </w:r>
          </w:p>
        </w:tc>
      </w:tr>
    </w:tbl>
    <w:p w:rsidR="00000000" w:rsidDel="00000000" w:rsidP="00000000" w:rsidRDefault="00000000" w:rsidRPr="00000000" w14:paraId="0000000B">
      <w:pPr>
        <w:widowControl w:val="0"/>
        <w:spacing w:after="0" w:line="276" w:lineRule="auto"/>
        <w:rPr>
          <w:rFonts w:ascii="Cambria" w:cs="Cambria" w:eastAsia="Cambria" w:hAnsi="Cambria"/>
          <w:b w:val="1"/>
          <w:bCs w:val="1"/>
          <w:sz w:val="32"/>
          <w:szCs w:val="32"/>
          <w:highlight w:val="white"/>
        </w:rPr>
      </w:pPr>
      <w:r w:rsidDel="00000000" w:rsidR="00000000" w:rsidRPr="00000000">
        <w:rPr>
          <w:rtl w:val="0"/>
        </w:rPr>
      </w:r>
    </w:p>
    <w:p w:rsidR="00000000" w:rsidDel="00000000" w:rsidP="00000000" w:rsidRDefault="00000000" w:rsidRPr="00000000" w14:paraId="0000000C">
      <w:pPr>
        <w:rPr>
          <w:rFonts w:ascii="Cambria" w:cs="Cambria" w:eastAsia="Cambria" w:hAnsi="Cambria"/>
          <w:b w:val="1"/>
          <w:bCs w:val="1"/>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Activity 1: Interactive and visually appealing dashboards </w:t>
      </w:r>
    </w:p>
    <w:p w:rsidR="00000000" w:rsidDel="00000000" w:rsidP="00000000" w:rsidRDefault="00000000" w:rsidRPr="00000000" w14:paraId="0000000D">
      <w:pPr>
        <w:rPr>
          <w:rFonts w:ascii="Cambria" w:cs="Cambria" w:eastAsia="Cambria" w:hAnsi="Cambria"/>
          <w:color w:val="000000"/>
          <w:sz w:val="24"/>
          <w:szCs w:val="24"/>
          <w:highlight w:val="white"/>
        </w:rPr>
      </w:pPr>
      <w:r w:rsidDel="00000000" w:rsidR="00000000" w:rsidRPr="00000000">
        <w:rPr>
          <w:rFonts w:ascii="Cambria" w:cs="Cambria" w:eastAsia="Cambria" w:hAnsi="Cambria"/>
          <w:sz w:val="24"/>
          <w:szCs w:val="24"/>
          <w:rtl w:val="0"/>
        </w:rPr>
        <w:t xml:space="preserve">Creating an effective Streamlit dashboard involves presenting business data stored in Snowflake through clear, interactive, and easy-to-understand visualizations. Students should design the dashboard so that users can quickly understand important KPIs, trends, comparisons, and business insights. </w:t>
      </w:r>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Clear and Intuitive Layout</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Use Appropriate Visualizations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Colour and Theming</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Interactive Filters and Slicers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Drill-Down Capabilities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Responsive Design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Custom Visuals and Icons</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Use of Infographics</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240" w:lineRule="auto"/>
        <w:ind w:left="1080" w:firstLine="0"/>
        <w:rPr>
          <w:rFonts w:ascii="Arial" w:cs="Arial" w:eastAsia="Arial" w:hAnsi="Arial"/>
          <w:color w:val="333333"/>
          <w:sz w:val="20"/>
          <w:szCs w:val="20"/>
        </w:rPr>
      </w:pPr>
      <w:r w:rsidDel="00000000" w:rsidR="00000000" w:rsidRPr="00000000">
        <w:rPr>
          <w:rtl w:val="0"/>
        </w:rPr>
      </w:r>
    </w:p>
    <w:p w:rsidR="00000000" w:rsidDel="00000000" w:rsidP="00000000" w:rsidRDefault="00000000" w:rsidRPr="00000000" w14:paraId="00000017">
      <w:pPr>
        <w:spacing w:after="240" w:before="240" w:line="276" w:lineRule="auto"/>
        <w:rPr>
          <w:sz w:val="24"/>
          <w:szCs w:val="24"/>
        </w:rPr>
      </w:pPr>
      <w:r w:rsidDel="00000000" w:rsidR="00000000" w:rsidRPr="00000000">
        <w:rPr>
          <w:sz w:val="24"/>
          <w:szCs w:val="24"/>
        </w:rPr>
        <w:drawing>
          <wp:inline distB="114300" distT="114300" distL="114300" distR="114300">
            <wp:extent cx="5167313" cy="2371725"/>
            <wp:effectExtent b="0" l="0" r="0" t="0"/>
            <wp:docPr id="8" name="image4.png"/>
            <a:graphic>
              <a:graphicData uri="http://schemas.openxmlformats.org/drawingml/2006/picture">
                <pic:pic>
                  <pic:nvPicPr>
                    <pic:cNvPr id="0" name="image4.png"/>
                    <pic:cNvPicPr preferRelativeResize="0"/>
                  </pic:nvPicPr>
                  <pic:blipFill>
                    <a:blip r:embed="rId8"/>
                    <a:srcRect b="4843" l="0" r="0" t="9402"/>
                    <a:stretch>
                      <a:fillRect/>
                    </a:stretch>
                  </pic:blipFill>
                  <pic:spPr>
                    <a:xfrm>
                      <a:off x="0" y="0"/>
                      <a:ext cx="5167313"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276" w:lineRule="auto"/>
        <w:rPr>
          <w:sz w:val="24"/>
          <w:szCs w:val="24"/>
        </w:rPr>
      </w:pPr>
      <w:r w:rsidDel="00000000" w:rsidR="00000000" w:rsidRPr="00000000">
        <w:rPr>
          <w:sz w:val="24"/>
          <w:szCs w:val="24"/>
        </w:rPr>
        <w:drawing>
          <wp:inline distB="114300" distT="114300" distL="114300" distR="114300">
            <wp:extent cx="5200650" cy="2443832"/>
            <wp:effectExtent b="0" l="0" r="0" t="0"/>
            <wp:docPr id="7" name="image3.png"/>
            <a:graphic>
              <a:graphicData uri="http://schemas.openxmlformats.org/drawingml/2006/picture">
                <pic:pic>
                  <pic:nvPicPr>
                    <pic:cNvPr id="0" name="image3.png"/>
                    <pic:cNvPicPr preferRelativeResize="0"/>
                  </pic:nvPicPr>
                  <pic:blipFill>
                    <a:blip r:embed="rId9"/>
                    <a:srcRect b="5392" l="0" r="0" t="8852"/>
                    <a:stretch>
                      <a:fillRect/>
                    </a:stretch>
                  </pic:blipFill>
                  <pic:spPr>
                    <a:xfrm>
                      <a:off x="0" y="0"/>
                      <a:ext cx="5200650" cy="2443832"/>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0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Note:</w:t>
      </w:r>
      <w:r w:rsidDel="00000000" w:rsidR="00000000" w:rsidRPr="00000000">
        <w:rPr>
          <w:rFonts w:ascii="Arial" w:cs="Arial" w:eastAsia="Arial" w:hAnsi="Arial"/>
          <w:sz w:val="20"/>
          <w:szCs w:val="20"/>
          <w:rtl w:val="0"/>
        </w:rPr>
        <w:t xml:space="preserve"> Highlight the major outcomes in form of bullet points </w:t>
      </w:r>
    </w:p>
    <w:p w:rsidR="00000000" w:rsidDel="00000000" w:rsidP="00000000" w:rsidRDefault="00000000" w:rsidRPr="00000000" w14:paraId="0000001A">
      <w:pPr>
        <w:spacing w:after="200" w:line="240" w:lineRule="auto"/>
        <w:rPr/>
      </w:pPr>
      <w:r w:rsidDel="00000000" w:rsidR="00000000" w:rsidRPr="00000000">
        <w:rPr>
          <w:rtl w:val="0"/>
        </w:rPr>
        <w:t xml:space="preserve">Sample:</w:t>
      </w:r>
    </w:p>
    <w:p w:rsidR="00000000" w:rsidDel="00000000" w:rsidP="00000000" w:rsidRDefault="00000000" w:rsidRPr="00000000" w14:paraId="0000001B">
      <w:pPr>
        <w:spacing w:after="200" w:line="240" w:lineRule="auto"/>
        <w:rPr/>
      </w:pPr>
      <w:r w:rsidDel="00000000" w:rsidR="00000000" w:rsidRPr="00000000">
        <w:rPr>
          <w:rtl w:val="0"/>
        </w:rPr>
        <w:t xml:space="preserve">Here are five potential outcomes from the dashboard image provided:</w:t>
      </w:r>
    </w:p>
    <w:p w:rsidR="00000000" w:rsidDel="00000000" w:rsidP="00000000" w:rsidRDefault="00000000" w:rsidRPr="00000000" w14:paraId="0000001C">
      <w:pPr>
        <w:numPr>
          <w:ilvl w:val="0"/>
          <w:numId w:val="2"/>
        </w:numPr>
        <w:spacing w:after="0" w:afterAutospacing="0" w:before="240" w:line="240" w:lineRule="auto"/>
        <w:ind w:left="720" w:hanging="360"/>
        <w:rPr/>
      </w:pPr>
      <w:r/>
    </w:p>
    <w:p w:rsidR="00000000" w:rsidDel="00000000" w:rsidP="00000000" w:rsidRDefault="00000000" w:rsidRPr="00000000" w14:paraId="0000001D">
      <w:pPr>
        <w:numPr>
          <w:ilvl w:val="0"/>
          <w:numId w:val="2"/>
        </w:numPr>
        <w:spacing w:after="0" w:afterAutospacing="0" w:before="0" w:beforeAutospacing="0" w:line="240" w:lineRule="auto"/>
        <w:ind w:left="720" w:hanging="360"/>
        <w:rPr/>
      </w:pPr>
      <w:r/>
    </w:p>
    <w:p w:rsidR="00000000" w:rsidDel="00000000" w:rsidP="00000000" w:rsidRDefault="00000000" w:rsidRPr="00000000" w14:paraId="0000001E">
      <w:pPr>
        <w:numPr>
          <w:ilvl w:val="0"/>
          <w:numId w:val="2"/>
        </w:numPr>
        <w:spacing w:after="0" w:afterAutospacing="0" w:before="0" w:beforeAutospacing="0" w:line="240" w:lineRule="auto"/>
        <w:ind w:left="720" w:hanging="360"/>
        <w:rPr/>
      </w:pPr>
      <w:r/>
    </w:p>
    <w:p w:rsidR="00000000" w:rsidDel="00000000" w:rsidP="00000000" w:rsidRDefault="00000000" w:rsidRPr="00000000" w14:paraId="0000001F">
      <w:pPr>
        <w:numPr>
          <w:ilvl w:val="0"/>
          <w:numId w:val="2"/>
        </w:numPr>
        <w:spacing w:after="0" w:afterAutospacing="0" w:before="0" w:beforeAutospacing="0" w:line="240" w:lineRule="auto"/>
        <w:ind w:left="720" w:hanging="360"/>
        <w:rPr/>
      </w:pPr>
      <w:r w:rsidDel="00000000" w:rsidR="00000000" w:rsidRPr="00000000">
        <w:rPr>
          <w:rtl w:val="0"/>
        </w:rPr>
        <w:t xml:space="preserve">Fielding/toss decisions appear to have an impact on match outcomes</w:t>
        <w:br w:type="textWrapping"/>
        <w:t xml:space="preserve"> The Toss Impact and Toss Decision charts show differences between winning after winning the toss and choosing to bat vs. field. This can be used to investigate whether the toss provides a meaningful advantage.</w:t>
      </w:r>
    </w:p>
    <w:p w:rsidR="00000000" w:rsidDel="00000000" w:rsidP="00000000" w:rsidRDefault="00000000" w:rsidRPr="00000000" w14:paraId="00000020">
      <w:pPr>
        <w:numPr>
          <w:ilvl w:val="0"/>
          <w:numId w:val="2"/>
        </w:numPr>
        <w:spacing w:after="240" w:before="0" w:beforeAutospacing="0" w:line="240" w:lineRule="auto"/>
        <w:ind w:left="720" w:hanging="360"/>
        <w:rPr/>
      </w:pPr>
      <w:r/>
    </w:p>
    <w:p w:rsidR="00000000" w:rsidDel="00000000" w:rsidP="00000000" w:rsidRDefault="00000000" w:rsidRPr="00000000" w14:paraId="00000021">
      <w:pPr>
        <w:spacing w:after="240" w:before="240" w:line="240" w:lineRule="auto"/>
        <w:rPr/>
      </w:pPr>
      <w:r/>
    </w:p>
    <w:p w:rsidR="00000000" w:rsidDel="00000000" w:rsidP="00000000" w:rsidRDefault="00000000" w:rsidRPr="00000000" w14:paraId="00000022">
      <w:pPr>
        <w:spacing w:after="200" w:line="240" w:lineRule="auto"/>
        <w:rPr/>
      </w:pPr>
      <w:r w:rsidDel="00000000" w:rsidR="00000000" w:rsidRPr="00000000">
        <w:rPr>
          <w:rtl w:val="0"/>
        </w:rPr>
        <w:br w:type="textWrapping"/>
        <w:br w:type="textWrapping"/>
      </w:r>
    </w:p>
    <w:p w:rsidR="00000000" w:rsidDel="00000000" w:rsidP="00000000" w:rsidRDefault="00000000" w:rsidRPr="00000000" w14:paraId="00000023">
      <w:pPr>
        <w:spacing w:after="240" w:before="0" w:line="240" w:lineRule="auto"/>
        <w:ind w:left="720" w:firstLine="0"/>
        <w:rPr>
          <w:u w:val="none"/>
        </w:rPr>
      </w:pPr>
      <w:r w:rsidDel="00000000" w:rsidR="00000000" w:rsidRPr="00000000">
        <w:rPr>
          <w:rtl w:val="0"/>
        </w:rPr>
      </w:r>
    </w:p>
    <w:p w:rsidR="00000000" w:rsidDel="00000000" w:rsidP="00000000" w:rsidRDefault="00000000" w:rsidRPr="00000000" w14:paraId="00000024">
      <w:pPr>
        <w:spacing w:after="240" w:before="240" w:line="240" w:lineRule="auto"/>
        <w:rPr/>
      </w:pPr>
      <w:r w:rsidDel="00000000" w:rsidR="00000000" w:rsidRPr="00000000">
        <w:rPr>
          <w:rtl w:val="0"/>
        </w:rPr>
      </w:r>
    </w:p>
    <w:p w:rsidR="00000000" w:rsidDel="00000000" w:rsidP="00000000" w:rsidRDefault="00000000" w:rsidRPr="00000000" w14:paraId="00000025">
      <w:pPr>
        <w:spacing w:after="200" w:line="240" w:lineRule="auto"/>
        <w:rPr>
          <w:sz w:val="28"/>
          <w:szCs w:val="28"/>
        </w:rPr>
      </w:pPr>
      <w:r w:rsidDel="00000000" w:rsidR="00000000" w:rsidRPr="00000000">
        <w:rPr>
          <w:rtl w:val="0"/>
        </w:rPr>
      </w:r>
    </w:p>
    <w:p>
      <w:pPr>
        <w:pStyle w:val="Heading2"/>
      </w:pPr>
      <w:r>
        <w:t>Applicability note</w:t>
      </w:r>
    </w:p>
    <w:p>
      <w:pPr>
        <w:spacing w:after="100"/>
      </w:pPr>
      <w:r>
        <w:t>Not applicable to the confirmed implementation. This project uses a CSV source with Tableau Desktop/Tableau Public and a Flask/HTML presentation layer. No Snowflake warehouse, Snowflake tables/views, Snowflake SQL scripts, Streamlit-on-Snowflake dashboard, or SQL query-history evidence was supplied. These requirements must not be marked completed unless a separate Snowflake implementation is actually built.</w:t>
      </w:r>
    </w:p>
    <w:p>
      <w:pPr>
        <w:pStyle w:val="Heading2"/>
      </w:pPr>
      <w:r>
        <w:t>Current project alternative</w:t>
      </w:r>
    </w:p>
    <w:p>
      <w:pPr>
        <w:spacing w:after="100"/>
      </w:pPr>
      <w:r>
        <w:t>The equivalent completed work is documented in the Tableau-specific development, dashboard/story, and performance-testing documents included in this pack. Do not substitute sample IPL/Sales examples for the actual fuel-prices project.</w:t>
      </w:r>
    </w:p>
    <w:sectPr>
      <w:headerReference r:id="rId10"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6505575</wp:posOffset>
          </wp:positionH>
          <wp:positionV relativeFrom="page">
            <wp:posOffset>247650</wp:posOffset>
          </wp:positionV>
          <wp:extent cx="864691" cy="395288"/>
          <wp:effectExtent b="0" l="0" r="0" t="0"/>
          <wp:wrapNone/>
          <wp:docPr id="1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E317E"/>
    <w:rPr>
      <w:color w:val="0563c1" w:themeColor="hyperlink"/>
      <w:u w:val="single"/>
    </w:rPr>
  </w:style>
  <w:style w:type="paragraph" w:styleId="ListParagraph">
    <w:name w:val="List Paragraph"/>
    <w:basedOn w:val="Normal"/>
    <w:uiPriority w:val="1"/>
    <w:qFormat w:val="1"/>
    <w:rsid w:val="007E317E"/>
    <w:pPr>
      <w:ind w:left="720"/>
      <w:contextualSpacing w:val="1"/>
    </w:p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KkkWiKCA7kjhuQs9TCZqGXO2tQ==">CgMxLjA4AHIhMUwzUUx3QWZ5SElCbkhpbjE5NzN2OVlZRUdtaVRfMVhE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2024-01-13T08:54:00Z</dcterms:created>
  <dc:creator>SmarBridge ML</dc:creator>
</cp:coreProperties>
</file>