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t>The following business questions guide the Tableau analysis. Each question is paired with the visualization type used in the current workbook or dashboard.</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color w:val="000000"/>
          <w:highlight w:val="white"/>
        </w:rPr>
      </w:p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color w:val="000000"/>
          <w:highlight w:val="white"/>
        </w:rPr>
      </w:p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2"/>
      </w:pPr>
      <w:r>
        <w:t>Business questions and visualization mapping</w:t>
      </w:r>
    </w:p>
    <w:tbl>
      <w:tblPr>
        <w:tblW w:type="auto" w:w="0"/>
        <w:tblLook w:firstColumn="1" w:firstRow="1" w:lastColumn="0" w:lastRow="0" w:noHBand="0" w:noVBand="1" w:val="04A0"/>
        <w:jc w:val="center"/>
        <w:tblBorders>
          <w:top w:val="single" w:sz="4" w:space="0" w:color="B7D5E8"/>
          <w:left w:val="single" w:sz="4" w:space="0" w:color="B7D5E8"/>
          <w:bottom w:val="single" w:sz="4" w:space="0" w:color="B7D5E8"/>
          <w:right w:val="single" w:sz="4" w:space="0" w:color="B7D5E8"/>
          <w:insideH w:val="single" w:sz="4" w:space="0" w:color="B7D5E8"/>
          <w:insideV w:val="single" w:sz="4" w:space="0" w:color="B7D5E8"/>
        </w:tblBorders>
      </w:tblPr>
      <w:tblGrid>
        <w:gridCol w:w="2256"/>
        <w:gridCol w:w="2256"/>
        <w:gridCol w:w="2256"/>
        <w:gridCol w:w="2256"/>
      </w:tblGrid>
      <w:tr>
        <w:trPr>
          <w:cantSplit/>
        </w:trPr>
        <w:tc>
          <w:tcPr>
            <w:tcW w:type="dxa" w:w="2256"/>
          </w:tcPr>
          <w:p>
            <w:pPr>
              <w:spacing w:after="40"/>
            </w:pPr>
            <w:r>
              <w:rPr>
                <w:rFonts w:ascii="Arial" w:hAnsi="Arial"/>
                <w:b/>
                <w:sz w:val="18"/>
              </w:rPr>
              <w:t>No.</w:t>
            </w:r>
          </w:p>
        </w:tc>
        <w:tc>
          <w:tcPr>
            <w:tcW w:type="dxa" w:w="2256"/>
          </w:tcPr>
          <w:p>
            <w:pPr>
              <w:spacing w:after="40"/>
            </w:pPr>
            <w:r>
              <w:rPr>
                <w:rFonts w:ascii="Arial" w:hAnsi="Arial"/>
                <w:b/>
                <w:sz w:val="18"/>
              </w:rPr>
              <w:t>Business question</w:t>
            </w:r>
          </w:p>
        </w:tc>
        <w:tc>
          <w:tcPr>
            <w:tcW w:type="dxa" w:w="2256"/>
          </w:tcPr>
          <w:p>
            <w:pPr>
              <w:spacing w:after="40"/>
            </w:pPr>
            <w:r>
              <w:rPr>
                <w:rFonts w:ascii="Arial" w:hAnsi="Arial"/>
                <w:b/>
                <w:sz w:val="18"/>
              </w:rPr>
              <w:t>Visualization / workbook view</w:t>
            </w:r>
          </w:p>
        </w:tc>
        <w:tc>
          <w:tcPr>
            <w:tcW w:type="dxa" w:w="2256"/>
          </w:tcPr>
          <w:p>
            <w:pPr>
              <w:spacing w:after="40"/>
            </w:pPr>
            <w:r>
              <w:rPr>
                <w:rFonts w:ascii="Arial" w:hAnsi="Arial"/>
                <w:b/>
                <w:sz w:val="18"/>
              </w:rPr>
              <w:t>Interpretation purpose</w:t>
            </w:r>
          </w:p>
        </w:tc>
      </w:tr>
      <w:tr>
        <w:trPr>
          <w:cantSplit/>
        </w:trPr>
        <w:tc>
          <w:tcPr>
            <w:tcW w:type="dxa" w:w="2256"/>
          </w:tcPr>
          <w:p>
            <w:pPr>
              <w:spacing w:after="40"/>
            </w:pPr>
            <w:r>
              <w:rPr>
                <w:rFonts w:ascii="Arial" w:hAnsi="Arial"/>
                <w:sz w:val="18"/>
              </w:rPr>
              <w:t>1</w:t>
            </w:r>
          </w:p>
        </w:tc>
        <w:tc>
          <w:tcPr>
            <w:tcW w:type="dxa" w:w="2256"/>
          </w:tcPr>
          <w:p>
            <w:pPr>
              <w:spacing w:after="40"/>
            </w:pPr>
            <w:r>
              <w:rPr>
                <w:rFonts w:ascii="Arial" w:hAnsi="Arial"/>
                <w:sz w:val="18"/>
              </w:rPr>
              <w:t>How do average petrol prices vary by country?</w:t>
            </w:r>
          </w:p>
        </w:tc>
        <w:tc>
          <w:tcPr>
            <w:tcW w:type="dxa" w:w="2256"/>
          </w:tcPr>
          <w:p>
            <w:pPr>
              <w:spacing w:after="40"/>
            </w:pPr>
            <w:r>
              <w:rPr>
                <w:rFonts w:ascii="Arial" w:hAnsi="Arial"/>
                <w:sz w:val="18"/>
              </w:rPr>
              <w:t>Geographic map: petrol price comparison</w:t>
            </w:r>
          </w:p>
        </w:tc>
        <w:tc>
          <w:tcPr>
            <w:tcW w:type="dxa" w:w="2256"/>
          </w:tcPr>
          <w:p>
            <w:pPr>
              <w:spacing w:after="40"/>
            </w:pPr>
            <w:r>
              <w:rPr>
                <w:rFonts w:ascii="Arial" w:hAnsi="Arial"/>
                <w:sz w:val="18"/>
              </w:rPr>
              <w:t>Compare spatial distribution and identify countries with higher/lower displayed prices.</w:t>
            </w:r>
          </w:p>
        </w:tc>
      </w:tr>
      <w:tr>
        <w:trPr>
          <w:cantSplit/>
        </w:trPr>
        <w:tc>
          <w:tcPr>
            <w:tcW w:type="dxa" w:w="2256"/>
          </w:tcPr>
          <w:p>
            <w:pPr>
              <w:spacing w:after="40"/>
            </w:pPr>
            <w:r>
              <w:rPr>
                <w:rFonts w:ascii="Arial" w:hAnsi="Arial"/>
                <w:sz w:val="18"/>
              </w:rPr>
              <w:t>2</w:t>
            </w:r>
          </w:p>
        </w:tc>
        <w:tc>
          <w:tcPr>
            <w:tcW w:type="dxa" w:w="2256"/>
          </w:tcPr>
          <w:p>
            <w:pPr>
              <w:spacing w:after="40"/>
            </w:pPr>
            <w:r>
              <w:rPr>
                <w:rFonts w:ascii="Arial" w:hAnsi="Arial"/>
                <w:sz w:val="18"/>
              </w:rPr>
              <w:t>How do average diesel prices vary by country?</w:t>
            </w:r>
          </w:p>
        </w:tc>
        <w:tc>
          <w:tcPr>
            <w:tcW w:type="dxa" w:w="2256"/>
          </w:tcPr>
          <w:p>
            <w:pPr>
              <w:spacing w:after="40"/>
            </w:pPr>
            <w:r>
              <w:rPr>
                <w:rFonts w:ascii="Arial" w:hAnsi="Arial"/>
                <w:sz w:val="18"/>
              </w:rPr>
              <w:t>Geographic map: diesel price comparison</w:t>
            </w:r>
          </w:p>
        </w:tc>
        <w:tc>
          <w:tcPr>
            <w:tcW w:type="dxa" w:w="2256"/>
          </w:tcPr>
          <w:p>
            <w:pPr>
              <w:spacing w:after="40"/>
            </w:pPr>
            <w:r>
              <w:rPr>
                <w:rFonts w:ascii="Arial" w:hAnsi="Arial"/>
                <w:sz w:val="18"/>
              </w:rPr>
              <w:t>Compare diesel price levels across countries.</w:t>
            </w:r>
          </w:p>
        </w:tc>
      </w:tr>
      <w:tr>
        <w:trPr>
          <w:cantSplit/>
        </w:trPr>
        <w:tc>
          <w:tcPr>
            <w:tcW w:type="dxa" w:w="2256"/>
          </w:tcPr>
          <w:p>
            <w:pPr>
              <w:spacing w:after="40"/>
            </w:pPr>
            <w:r>
              <w:rPr>
                <w:rFonts w:ascii="Arial" w:hAnsi="Arial"/>
                <w:sz w:val="18"/>
              </w:rPr>
              <w:t>3</w:t>
            </w:r>
          </w:p>
        </w:tc>
        <w:tc>
          <w:tcPr>
            <w:tcW w:type="dxa" w:w="2256"/>
          </w:tcPr>
          <w:p>
            <w:pPr>
              <w:spacing w:after="40"/>
            </w:pPr>
            <w:r>
              <w:rPr>
                <w:rFonts w:ascii="Arial" w:hAnsi="Arial"/>
                <w:sz w:val="18"/>
              </w:rPr>
              <w:t>How do petrol prices change over time?</w:t>
            </w:r>
          </w:p>
        </w:tc>
        <w:tc>
          <w:tcPr>
            <w:tcW w:type="dxa" w:w="2256"/>
          </w:tcPr>
          <w:p>
            <w:pPr>
              <w:spacing w:after="40"/>
            </w:pPr>
            <w:r>
              <w:rPr>
                <w:rFonts w:ascii="Arial" w:hAnsi="Arial"/>
                <w:sz w:val="18"/>
              </w:rPr>
              <w:t>Line chart: average petrol price trend</w:t>
            </w:r>
          </w:p>
        </w:tc>
        <w:tc>
          <w:tcPr>
            <w:tcW w:type="dxa" w:w="2256"/>
          </w:tcPr>
          <w:p>
            <w:pPr>
              <w:spacing w:after="40"/>
            </w:pPr>
            <w:r>
              <w:rPr>
                <w:rFonts w:ascii="Arial" w:hAnsi="Arial"/>
                <w:sz w:val="18"/>
              </w:rPr>
              <w:t>Inspect direction and variation across years in the selected data.</w:t>
            </w:r>
          </w:p>
        </w:tc>
      </w:tr>
      <w:tr>
        <w:trPr>
          <w:cantSplit/>
        </w:trPr>
        <w:tc>
          <w:tcPr>
            <w:tcW w:type="dxa" w:w="2256"/>
          </w:tcPr>
          <w:p>
            <w:pPr>
              <w:spacing w:after="40"/>
            </w:pPr>
            <w:r>
              <w:rPr>
                <w:rFonts w:ascii="Arial" w:hAnsi="Arial"/>
                <w:sz w:val="18"/>
              </w:rPr>
              <w:t>4</w:t>
            </w:r>
          </w:p>
        </w:tc>
        <w:tc>
          <w:tcPr>
            <w:tcW w:type="dxa" w:w="2256"/>
          </w:tcPr>
          <w:p>
            <w:pPr>
              <w:spacing w:after="40"/>
            </w:pPr>
            <w:r>
              <w:rPr>
                <w:rFonts w:ascii="Arial" w:hAnsi="Arial"/>
                <w:sz w:val="18"/>
              </w:rPr>
              <w:t>How do diesel prices change over time?</w:t>
            </w:r>
          </w:p>
        </w:tc>
        <w:tc>
          <w:tcPr>
            <w:tcW w:type="dxa" w:w="2256"/>
          </w:tcPr>
          <w:p>
            <w:pPr>
              <w:spacing w:after="40"/>
            </w:pPr>
            <w:r>
              <w:rPr>
                <w:rFonts w:ascii="Arial" w:hAnsi="Arial"/>
                <w:sz w:val="18"/>
              </w:rPr>
              <w:t>Line chart: average diesel price trend</w:t>
            </w:r>
          </w:p>
        </w:tc>
        <w:tc>
          <w:tcPr>
            <w:tcW w:type="dxa" w:w="2256"/>
          </w:tcPr>
          <w:p>
            <w:pPr>
              <w:spacing w:after="40"/>
            </w:pPr>
            <w:r>
              <w:rPr>
                <w:rFonts w:ascii="Arial" w:hAnsi="Arial"/>
                <w:sz w:val="18"/>
              </w:rPr>
              <w:t>Compare diesel movements over the same period.</w:t>
            </w:r>
          </w:p>
        </w:tc>
      </w:tr>
      <w:tr>
        <w:trPr>
          <w:cantSplit/>
        </w:trPr>
        <w:tc>
          <w:tcPr>
            <w:tcW w:type="dxa" w:w="2256"/>
          </w:tcPr>
          <w:p>
            <w:pPr>
              <w:spacing w:after="40"/>
            </w:pPr>
            <w:r>
              <w:rPr>
                <w:rFonts w:ascii="Arial" w:hAnsi="Arial"/>
                <w:sz w:val="18"/>
              </w:rPr>
              <w:t>5</w:t>
            </w:r>
          </w:p>
        </w:tc>
        <w:tc>
          <w:tcPr>
            <w:tcW w:type="dxa" w:w="2256"/>
          </w:tcPr>
          <w:p>
            <w:pPr>
              <w:spacing w:after="40"/>
            </w:pPr>
            <w:r>
              <w:rPr>
                <w:rFonts w:ascii="Arial" w:hAnsi="Arial"/>
                <w:sz w:val="18"/>
              </w:rPr>
              <w:t>How do LPG prices change over time?</w:t>
            </w:r>
          </w:p>
        </w:tc>
        <w:tc>
          <w:tcPr>
            <w:tcW w:type="dxa" w:w="2256"/>
          </w:tcPr>
          <w:p>
            <w:pPr>
              <w:spacing w:after="40"/>
            </w:pPr>
            <w:r>
              <w:rPr>
                <w:rFonts w:ascii="Arial" w:hAnsi="Arial"/>
                <w:sz w:val="18"/>
              </w:rPr>
              <w:t>Line chart: average LPG price trend</w:t>
            </w:r>
          </w:p>
        </w:tc>
        <w:tc>
          <w:tcPr>
            <w:tcW w:type="dxa" w:w="2256"/>
          </w:tcPr>
          <w:p>
            <w:pPr>
              <w:spacing w:after="40"/>
            </w:pPr>
            <w:r>
              <w:rPr>
                <w:rFonts w:ascii="Arial" w:hAnsi="Arial"/>
                <w:sz w:val="18"/>
              </w:rPr>
              <w:t>Review LPG price variation over time.</w:t>
            </w:r>
          </w:p>
        </w:tc>
      </w:tr>
      <w:tr>
        <w:trPr>
          <w:cantSplit/>
        </w:trPr>
        <w:tc>
          <w:tcPr>
            <w:tcW w:type="dxa" w:w="2256"/>
          </w:tcPr>
          <w:p>
            <w:pPr>
              <w:spacing w:after="40"/>
            </w:pPr>
            <w:r>
              <w:rPr>
                <w:rFonts w:ascii="Arial" w:hAnsi="Arial"/>
                <w:sz w:val="18"/>
              </w:rPr>
              <w:t>6</w:t>
            </w:r>
          </w:p>
        </w:tc>
        <w:tc>
          <w:tcPr>
            <w:tcW w:type="dxa" w:w="2256"/>
          </w:tcPr>
          <w:p>
            <w:pPr>
              <w:spacing w:after="40"/>
            </w:pPr>
            <w:r>
              <w:rPr>
                <w:rFonts w:ascii="Arial" w:hAnsi="Arial"/>
                <w:sz w:val="18"/>
              </w:rPr>
              <w:t>How does Brent crude oil move over time?</w:t>
            </w:r>
          </w:p>
        </w:tc>
        <w:tc>
          <w:tcPr>
            <w:tcW w:type="dxa" w:w="2256"/>
          </w:tcPr>
          <w:p>
            <w:pPr>
              <w:spacing w:after="40"/>
            </w:pPr>
            <w:r>
              <w:rPr>
                <w:rFonts w:ascii="Arial" w:hAnsi="Arial"/>
                <w:sz w:val="18"/>
              </w:rPr>
              <w:t>Line chart: Brent crude trend</w:t>
            </w:r>
          </w:p>
        </w:tc>
        <w:tc>
          <w:tcPr>
            <w:tcW w:type="dxa" w:w="2256"/>
          </w:tcPr>
          <w:p>
            <w:pPr>
              <w:spacing w:after="40"/>
            </w:pPr>
            <w:r>
              <w:rPr>
                <w:rFonts w:ascii="Arial" w:hAnsi="Arial"/>
                <w:sz w:val="18"/>
              </w:rPr>
              <w:t>Provide a related energy-price indicator for context.</w:t>
            </w:r>
          </w:p>
        </w:tc>
      </w:tr>
      <w:tr>
        <w:trPr>
          <w:cantSplit/>
        </w:trPr>
        <w:tc>
          <w:tcPr>
            <w:tcW w:type="dxa" w:w="2256"/>
          </w:tcPr>
          <w:p>
            <w:pPr>
              <w:spacing w:after="40"/>
            </w:pPr>
            <w:r>
              <w:rPr>
                <w:rFonts w:ascii="Arial" w:hAnsi="Arial"/>
                <w:sz w:val="18"/>
              </w:rPr>
              <w:t>7</w:t>
            </w:r>
          </w:p>
        </w:tc>
        <w:tc>
          <w:tcPr>
            <w:tcW w:type="dxa" w:w="2256"/>
          </w:tcPr>
          <w:p>
            <w:pPr>
              <w:spacing w:after="40"/>
            </w:pPr>
            <w:r>
              <w:rPr>
                <w:rFonts w:ascii="Arial" w:hAnsi="Arial"/>
                <w:sz w:val="18"/>
              </w:rPr>
              <w:t>How does Brent crude relate to petrol prices?</w:t>
            </w:r>
          </w:p>
        </w:tc>
        <w:tc>
          <w:tcPr>
            <w:tcW w:type="dxa" w:w="2256"/>
          </w:tcPr>
          <w:p>
            <w:pPr>
              <w:spacing w:after="40"/>
            </w:pPr>
            <w:r>
              <w:rPr>
                <w:rFonts w:ascii="Arial" w:hAnsi="Arial"/>
                <w:sz w:val="18"/>
              </w:rPr>
              <w:t>Comparison/trend view: Brent crude vs petrol</w:t>
            </w:r>
          </w:p>
        </w:tc>
        <w:tc>
          <w:tcPr>
            <w:tcW w:type="dxa" w:w="2256"/>
          </w:tcPr>
          <w:p>
            <w:pPr>
              <w:spacing w:after="40"/>
            </w:pPr>
            <w:r>
              <w:rPr>
                <w:rFonts w:ascii="Arial" w:hAnsi="Arial"/>
                <w:sz w:val="18"/>
              </w:rPr>
              <w:t>Examine co-movement patterns; chart alone does not prove causation.</w:t>
            </w:r>
          </w:p>
        </w:tc>
      </w:tr>
      <w:tr>
        <w:trPr>
          <w:cantSplit/>
        </w:trPr>
        <w:tc>
          <w:tcPr>
            <w:tcW w:type="dxa" w:w="2256"/>
          </w:tcPr>
          <w:p>
            <w:pPr>
              <w:spacing w:after="40"/>
            </w:pPr>
            <w:r>
              <w:rPr>
                <w:rFonts w:ascii="Arial" w:hAnsi="Arial"/>
                <w:sz w:val="18"/>
              </w:rPr>
              <w:t>8</w:t>
            </w:r>
          </w:p>
        </w:tc>
        <w:tc>
          <w:tcPr>
            <w:tcW w:type="dxa" w:w="2256"/>
          </w:tcPr>
          <w:p>
            <w:pPr>
              <w:spacing w:after="40"/>
            </w:pPr>
            <w:r>
              <w:rPr>
                <w:rFonts w:ascii="Arial" w:hAnsi="Arial"/>
                <w:sz w:val="18"/>
              </w:rPr>
              <w:t>How does average tax percentage vary by region?</w:t>
            </w:r>
          </w:p>
        </w:tc>
        <w:tc>
          <w:tcPr>
            <w:tcW w:type="dxa" w:w="2256"/>
          </w:tcPr>
          <w:p>
            <w:pPr>
              <w:spacing w:after="40"/>
            </w:pPr>
            <w:r>
              <w:rPr>
                <w:rFonts w:ascii="Arial" w:hAnsi="Arial"/>
                <w:sz w:val="18"/>
              </w:rPr>
              <w:t>Pie chart / regional tax comparison</w:t>
            </w:r>
          </w:p>
        </w:tc>
        <w:tc>
          <w:tcPr>
            <w:tcW w:type="dxa" w:w="2256"/>
          </w:tcPr>
          <w:p>
            <w:pPr>
              <w:spacing w:after="40"/>
            </w:pPr>
            <w:r>
              <w:rPr>
                <w:rFonts w:ascii="Arial" w:hAnsi="Arial"/>
                <w:sz w:val="18"/>
              </w:rPr>
              <w:t>Compare displayed regional tax-percentage averages.</w:t>
            </w:r>
          </w:p>
        </w:tc>
      </w:tr>
      <w:tr>
        <w:trPr>
          <w:cantSplit/>
        </w:trPr>
        <w:tc>
          <w:tcPr>
            <w:tcW w:type="dxa" w:w="2256"/>
          </w:tcPr>
          <w:p>
            <w:pPr>
              <w:spacing w:after="40"/>
            </w:pPr>
            <w:r>
              <w:rPr>
                <w:rFonts w:ascii="Arial" w:hAnsi="Arial"/>
                <w:sz w:val="18"/>
              </w:rPr>
              <w:t>9</w:t>
            </w:r>
          </w:p>
        </w:tc>
        <w:tc>
          <w:tcPr>
            <w:tcW w:type="dxa" w:w="2256"/>
          </w:tcPr>
          <w:p>
            <w:pPr>
              <w:spacing w:after="40"/>
            </w:pPr>
            <w:r>
              <w:rPr>
                <w:rFonts w:ascii="Arial" w:hAnsi="Arial"/>
                <w:sz w:val="18"/>
              </w:rPr>
              <w:t>Which countries have the highest petrol prices?</w:t>
            </w:r>
          </w:p>
        </w:tc>
        <w:tc>
          <w:tcPr>
            <w:tcW w:type="dxa" w:w="2256"/>
          </w:tcPr>
          <w:p>
            <w:pPr>
              <w:spacing w:after="40"/>
            </w:pPr>
            <w:r>
              <w:rPr>
                <w:rFonts w:ascii="Arial" w:hAnsi="Arial"/>
                <w:sz w:val="18"/>
              </w:rPr>
              <w:t>Bar chart: top countries by petrol price</w:t>
            </w:r>
          </w:p>
        </w:tc>
        <w:tc>
          <w:tcPr>
            <w:tcW w:type="dxa" w:w="2256"/>
          </w:tcPr>
          <w:p>
            <w:pPr>
              <w:spacing w:after="40"/>
            </w:pPr>
            <w:r>
              <w:rPr>
                <w:rFonts w:ascii="Arial" w:hAnsi="Arial"/>
                <w:sz w:val="18"/>
              </w:rPr>
              <w:t>Rank leading countries for the selected measure and defaults.</w:t>
            </w:r>
          </w:p>
        </w:tc>
      </w:tr>
      <w:tr>
        <w:trPr>
          <w:cantSplit/>
        </w:trPr>
        <w:tc>
          <w:tcPr>
            <w:tcW w:type="dxa" w:w="2256"/>
          </w:tcPr>
          <w:p>
            <w:pPr>
              <w:spacing w:after="40"/>
            </w:pPr>
            <w:r>
              <w:rPr>
                <w:rFonts w:ascii="Arial" w:hAnsi="Arial"/>
                <w:sz w:val="18"/>
              </w:rPr>
              <w:t>10</w:t>
            </w:r>
          </w:p>
        </w:tc>
        <w:tc>
          <w:tcPr>
            <w:tcW w:type="dxa" w:w="2256"/>
          </w:tcPr>
          <w:p>
            <w:pPr>
              <w:spacing w:after="40"/>
            </w:pPr>
            <w:r>
              <w:rPr>
                <w:rFonts w:ascii="Arial" w:hAnsi="Arial"/>
                <w:sz w:val="18"/>
              </w:rPr>
              <w:t>How does average fuel price relate to subsidy level?</w:t>
            </w:r>
          </w:p>
        </w:tc>
        <w:tc>
          <w:tcPr>
            <w:tcW w:type="dxa" w:w="2256"/>
          </w:tcPr>
          <w:p>
            <w:pPr>
              <w:spacing w:after="40"/>
            </w:pPr>
            <w:r>
              <w:rPr>
                <w:rFonts w:ascii="Arial" w:hAnsi="Arial"/>
                <w:sz w:val="18"/>
              </w:rPr>
              <w:t>Fuel price by subsidy level</w:t>
            </w:r>
          </w:p>
        </w:tc>
        <w:tc>
          <w:tcPr>
            <w:tcW w:type="dxa" w:w="2256"/>
          </w:tcPr>
          <w:p>
            <w:pPr>
              <w:spacing w:after="40"/>
            </w:pPr>
            <w:r>
              <w:rPr>
                <w:rFonts w:ascii="Arial" w:hAnsi="Arial"/>
                <w:sz w:val="18"/>
              </w:rPr>
              <w:t>Compare fuel-price aggregates across subsidy categories.</w:t>
            </w:r>
          </w:p>
        </w:tc>
      </w:tr>
      <w:tr>
        <w:trPr>
          <w:cantSplit/>
        </w:trPr>
        <w:tc>
          <w:tcPr>
            <w:tcW w:type="dxa" w:w="2256"/>
          </w:tcPr>
          <w:p>
            <w:pPr>
              <w:spacing w:after="40"/>
            </w:pPr>
            <w:r>
              <w:rPr>
                <w:rFonts w:ascii="Arial" w:hAnsi="Arial"/>
                <w:sz w:val="18"/>
              </w:rPr>
              <w:t>11</w:t>
            </w:r>
          </w:p>
        </w:tc>
        <w:tc>
          <w:tcPr>
            <w:tcW w:type="dxa" w:w="2256"/>
          </w:tcPr>
          <w:p>
            <w:pPr>
              <w:spacing w:after="40"/>
            </w:pPr>
            <w:r>
              <w:rPr>
                <w:rFonts w:ascii="Arial" w:hAnsi="Arial"/>
                <w:sz w:val="18"/>
              </w:rPr>
              <w:t>Are country-to-region assignments consistent?</w:t>
            </w:r>
          </w:p>
        </w:tc>
        <w:tc>
          <w:tcPr>
            <w:tcW w:type="dxa" w:w="2256"/>
          </w:tcPr>
          <w:p>
            <w:pPr>
              <w:spacing w:after="40"/>
            </w:pPr>
            <w:r>
              <w:rPr>
                <w:rFonts w:ascii="Arial" w:hAnsi="Arial"/>
                <w:sz w:val="18"/>
              </w:rPr>
              <w:t>Region Mapping Check worksheet</w:t>
            </w:r>
          </w:p>
        </w:tc>
        <w:tc>
          <w:tcPr>
            <w:tcW w:type="dxa" w:w="2256"/>
          </w:tcPr>
          <w:p>
            <w:pPr>
              <w:spacing w:after="40"/>
            </w:pPr>
            <w:r>
              <w:rPr>
                <w:rFonts w:ascii="Arial" w:hAnsi="Arial"/>
                <w:sz w:val="18"/>
              </w:rPr>
              <w:t>Flag countries associated with more than one region.</w:t>
            </w:r>
          </w:p>
        </w:tc>
      </w:tr>
      <w:tr>
        <w:trPr>
          <w:cantSplit/>
        </w:trPr>
        <w:tc>
          <w:tcPr>
            <w:tcW w:type="dxa" w:w="2256"/>
          </w:tcPr>
          <w:p>
            <w:pPr>
              <w:spacing w:after="40"/>
            </w:pPr>
            <w:r>
              <w:rPr>
                <w:rFonts w:ascii="Arial" w:hAnsi="Arial"/>
                <w:sz w:val="18"/>
              </w:rPr>
              <w:t>12</w:t>
            </w:r>
          </w:p>
        </w:tc>
        <w:tc>
          <w:tcPr>
            <w:tcW w:type="dxa" w:w="2256"/>
          </w:tcPr>
          <w:p>
            <w:pPr>
              <w:spacing w:after="40"/>
            </w:pPr>
            <w:r>
              <w:rPr>
                <w:rFonts w:ascii="Arial" w:hAnsi="Arial"/>
                <w:sz w:val="18"/>
              </w:rPr>
              <w:t>Are there potential duplicate country-date records?</w:t>
            </w:r>
          </w:p>
        </w:tc>
        <w:tc>
          <w:tcPr>
            <w:tcW w:type="dxa" w:w="2256"/>
          </w:tcPr>
          <w:p>
            <w:pPr>
              <w:spacing w:after="40"/>
            </w:pPr>
            <w:r>
              <w:rPr>
                <w:rFonts w:ascii="Arial" w:hAnsi="Arial"/>
                <w:sz w:val="18"/>
              </w:rPr>
              <w:t>Country-Date Record Count / Duplicate Country-Date Flag</w:t>
            </w:r>
          </w:p>
        </w:tc>
        <w:tc>
          <w:tcPr>
            <w:tcW w:type="dxa" w:w="2256"/>
          </w:tcPr>
          <w:p>
            <w:pPr>
              <w:spacing w:after="40"/>
            </w:pPr>
            <w:r>
              <w:rPr>
                <w:rFonts w:ascii="Arial" w:hAnsi="Arial"/>
                <w:sz w:val="18"/>
              </w:rPr>
              <w:t>Identify keys with more than one row for a country/date.</w:t>
            </w:r>
          </w:p>
        </w:tc>
      </w:tr>
    </w:tbl>
    <w:p>
      <w:pPr>
        <w:pStyle w:val="Heading2"/>
      </w:pPr>
      <w:r>
        <w:t>Workbook implementation note</w:t>
      </w:r>
    </w:p>
    <w:p>
      <w:pPr>
        <w:spacing w:after="100"/>
      </w:pPr>
      <w:r>
        <w:t>The Tableau workbook contains additional diagnostic worksheets for category standardization, regional mapping, temporal organization, and outlier checks for Brent crude, diesel, LPG, petrol, and tax. These are data-quality aids, not all displayed as charts in the final dashboard.</w:t>
      </w:r>
    </w:p>
    <w:p>
      <w:pPr>
        <w:pStyle w:val="Heading2"/>
      </w:pPr>
      <w:r>
        <w:t>Published dashboard</w:t>
      </w:r>
    </w:p>
    <w:p>
      <w:pPr>
        <w:spacing w:after="100"/>
      </w:pPr>
      <w:r>
        <w:t>https://public.tableau.com/app/profile/rudraraj.singh/viz/Global_Fuel_Prices_and_Taxation_Trends/GlobalFuelPricesandTaxationTrendsfinal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