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/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/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/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/>
    </w:p>
    <w:p>
      <w:pPr>
        <w:pStyle w:val="Heading2"/>
      </w:pPr>
      <w:r>
        <w:t>Story narrative structure — seven scenes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D5E8"/>
          <w:left w:val="single" w:sz="4" w:space="0" w:color="B7D5E8"/>
          <w:bottom w:val="single" w:sz="4" w:space="0" w:color="B7D5E8"/>
          <w:right w:val="single" w:sz="4" w:space="0" w:color="B7D5E8"/>
          <w:insideH w:val="single" w:sz="4" w:space="0" w:color="B7D5E8"/>
          <w:insideV w:val="single" w:sz="4" w:space="0" w:color="B7D5E8"/>
        </w:tblBorders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Scene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Title / purpose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Content and takeaway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Introduction — problem statement and research question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Explain why cross-country fuel-price and tax comparisons matter; state reported data coverage and core question.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Geographic disparity — global price variation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 country/region maps to show spatial variation in average petrol and diesel prices.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Temporal trends — price movement over time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 line charts for petrol, diesel, LPG and crude-price indicators; describe observed changes without causal claims.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Taxation policy — global tax analysis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Compare displayed regional tax-percentage averages and identify geographic differences for further investigation.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Economic impact — income-level comparison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Compare average fuel-price values across income-level categories; the chart snapshot suggested high-income values higher than middle/low categories, which should be interpreted descriptively.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Subsidy assessment — government support analysis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Compare fuel prices across subsidy categories and discuss possible patterns, noting dataset categories alone cannot establish subsidy effects.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Conclusions and recommendations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Summarize geographic and temporal variation; recommend transparent price/tax comparisons and further analysis with verified policy/economic context.</w:t>
            </w:r>
          </w:p>
        </w:tc>
      </w:tr>
    </w:tbl>
    <w:p>
      <w:pPr>
        <w:pStyle w:val="Heading2"/>
      </w:pPr>
      <w:r>
        <w:t>Narrative design principles</w:t>
      </w:r>
    </w:p>
    <w:p>
      <w:pPr>
        <w:spacing w:after="100"/>
      </w:pPr>
      <w:r>
        <w:t>The Story follows a problem → evidence → comparison → interpretation → conclusion sequence. Text-only scenes are used for introduction and conclusions where extra charts would repeat the dashboard unnecessarily. The Story is published separately from the dashboard.</w:t>
      </w:r>
    </w:p>
    <w:p>
      <w:pPr>
        <w:pStyle w:val="Heading2"/>
      </w:pPr>
      <w:r>
        <w:t>Published Story URL</w:t>
      </w:r>
    </w:p>
    <w:p>
      <w:pPr>
        <w:spacing w:after="100"/>
      </w:pPr>
      <w:r>
        <w:t>https://public.tableau.com/app/profile/rudraraj.singh/viz/Global_Fuel_Prices_and_Taxation_Trends/Story1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