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Individual project; official Team ID not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Global Fuel Prices and Taxation Trends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Rendered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Project-reported dataset: 27,468 records, 10 attributes, ~2.7 MB; Jan 2020–Apr 2026; 84 countries across 7 regions. Initial load measured 5 seconds. All visible visualizations rendered; no blank charts/errors observed.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Preprocessing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Workbook has quality-check worksheets for category standardization, region mapping, temporal organization, and outlier checks. User-reported data inspection found no missing values.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Utilization of Filters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Date, Region, Income Level, Subsidy Level: each tested and updated correctly. Country and Measure/Fuel Type were not visible during the separate browser test.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Calculation Fields Used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9 unique calculated fields identified in workbook: Rows With Missing Values; Country-Date Record Count; Duplicate Country-Date Flag; Distinct Regions per Country; Region Mapping Status; Average Fuel Price (USD/L); Petrol-Diesel Price Difference (USD/L); Unique Countries; Unique Dates.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Dashboard Design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9 visualization worksheets referenced by the final dashboard, excluding separate diagnostic worksheets; the teacher description lists 10 items while its heading says 9, so the count basis should be stated.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Story Design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7 scenes; user confirmed all scenes were navigable. Dashboard and Story public links were checked.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>Observed browser timings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7D5E8"/>
          <w:left w:val="single" w:sz="4" w:space="0" w:color="B7D5E8"/>
          <w:bottom w:val="single" w:sz="4" w:space="0" w:color="B7D5E8"/>
          <w:right w:val="single" w:sz="4" w:space="0" w:color="B7D5E8"/>
          <w:insideH w:val="single" w:sz="4" w:space="0" w:color="B7D5E8"/>
          <w:insideV w:val="single" w:sz="4" w:space="0" w:color="B7D5E8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Test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Observed result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Initial dashboard loading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 seconds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Recorded by user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All visualizations rendered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 in tested session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Single-filter response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Approximately 4 seconds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Recorded by user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Two-filter response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Approximately 5 seconds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Recorded by user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Two-filter chart update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 in tested session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Blank charts / errors / endless spinners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None observed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 in tested session</w:t>
            </w:r>
          </w:p>
        </w:tc>
      </w:tr>
    </w:tbl>
    <w:p>
      <w:pPr>
        <w:spacing w:after="100"/>
      </w:pPr>
      <w:r>
        <w:t>Test times are observations from one browser session, not a repeatable benchmark. Data row count and size are project-reported and not derivable from the .twb workbook alone. Re-test after material workbook changes or on the device/network used for the final demo.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