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6E"/>
          <w:sz w:val="40"/>
        </w:rPr>
        <w:t>End-to-End Project Demonstration Script</w:t>
      </w:r>
    </w:p>
    <w:p>
      <w:pPr>
        <w:jc w:val="center"/>
      </w:pPr>
      <w:r>
        <w:t>5–7 minute screen-share video</w:t>
      </w:r>
    </w:p>
    <w:p>
      <w:pPr>
        <w:jc w:val="center"/>
      </w:pPr>
      <w:r>
        <w:t>Project: Global Fuel Prices and Taxation Trends  |  Prepared: 25 October 2026  |  Owner: Rudraraj Singh Bhati</w:t>
      </w:r>
    </w:p>
    <w:p>
      <w:pPr>
        <w:pStyle w:val="Heading1"/>
      </w:pPr>
      <w:r>
        <w:t>0:00–0:45 | Introduction and problem statement</w:t>
      </w:r>
    </w:p>
    <w:p>
      <w:pPr>
        <w:spacing w:after="100"/>
      </w:pPr>
      <w:r>
        <w:t>Hello everyone. My name is Rudraraj Singh Bhati, and my project is titled “Global Fuel Prices and Taxation Trends: A Comprehensive Global Performance Intelligence Report.” The project analyzes global fuel-price and taxation patterns over time and across regions. The problem is that large tables are difficult to compare manually; the goal is to provide clear, interactive visualizations and a narrative that helps users explore differences in petrol, diesel, LPG, crude-oil indicators, taxation, income levels and subsidy categories.</w:t>
      </w:r>
    </w:p>
    <w:p>
      <w:pPr>
        <w:pStyle w:val="Heading1"/>
      </w:pPr>
      <w:r>
        <w:t>0:45–2:00 | Dataset and preprocessing</w:t>
      </w:r>
    </w:p>
    <w:p>
      <w:pPr>
        <w:spacing w:after="100"/>
      </w:pPr>
      <w:r>
        <w:t>The Tableau workbook uses `global_fuel_prices_Dataset.csv`. The project reports 27,468 records and 10 attributes, about 2.7 MB, covering January 2020 through April 2026, 84 countries and seven regions. The ten fields are date, country, region, income_level, subsidy_level, petrol_usd_liter, diesel_usd_liter, lpg_usd_liter, brent_crude_usd and tax_percentage. Preparation involved checking missing values, possible duplicate country-date records, region consistency, categorical standardization, outliers and chronological organization. The workbook includes diagnostic worksheets for these checks.</w:t>
      </w:r>
    </w:p>
    <w:p>
      <w:pPr>
        <w:pStyle w:val="Heading1"/>
      </w:pPr>
      <w:r>
        <w:t>2:00–3:35 | Dashboard</w:t>
      </w:r>
    </w:p>
    <w:p>
      <w:pPr>
        <w:spacing w:after="100"/>
      </w:pPr>
      <w:r>
        <w:t>Open the Tableau Public dashboard. Point out the KPI cards for diesel, LPG, petrol and tax percentage; the country-level maps; petrol, diesel, LPG and Brent crude trend charts; regional tax comparison; and ranked country comparison. Change Date and Region, then Income Level or Subsidy Level, to demonstrate the filters. Explain that in the test session the initial load was about five seconds; a single filter updated in about four seconds and two filters in about five seconds, with charts updating and no blank charts or errors observed.</w:t>
      </w:r>
    </w:p>
    <w:p>
      <w:pPr>
        <w:pStyle w:val="Heading1"/>
      </w:pPr>
      <w:r>
        <w:t>3:35–4:45 | Story</w:t>
      </w:r>
    </w:p>
    <w:p>
      <w:pPr>
        <w:spacing w:after="100"/>
      </w:pPr>
      <w:r>
        <w:t>Open the separate published Story and navigate all seven scenes: introduction and problem, geographic disparity, temporal trends, taxation, income-level comparison, subsidy assessment, and conclusions. Explain how the sequence moves from the question through evidence to cautious interpretation.</w:t>
      </w:r>
    </w:p>
    <w:p>
      <w:pPr>
        <w:pStyle w:val="Heading1"/>
      </w:pPr>
      <w:r>
        <w:t>4:45–5:35 | Key insights</w:t>
      </w:r>
    </w:p>
    <w:p>
      <w:pPr>
        <w:spacing w:after="100"/>
      </w:pPr>
      <w:r>
        <w:t>Explain that the visualizations show differences across geography, time, and economic/policy categories. The default screenshot shows average diesel price 2.135 USD/L, LPG 1.715 USD/L, petrol 2.285 USD/L and average tax percentage 26.77%; these are the displayed dashboard values for that state. Describe patterns as descriptive evidence and avoid saying that taxes or subsidies caused price changes.</w:t>
      </w:r>
    </w:p>
    <w:p>
      <w:pPr>
        <w:pStyle w:val="Heading1"/>
      </w:pPr>
      <w:r>
        <w:t>5:35–6:30 | Web integration and conclusion</w:t>
      </w:r>
    </w:p>
    <w:p>
      <w:pPr>
        <w:spacing w:after="100"/>
      </w:pPr>
      <w:r>
        <w:t>Show the Flask/HTML website with the world-map hero, About the Data, embedded dashboard and Story links. Mention that Tableau Public continues to host the visualizations and the website provides a project-oriented presentation layer. Close by summarizing problem definition, data preparation, visualization, Story, publishing and testing. Thank the audience.</w:t>
      </w:r>
    </w:p>
    <w:p>
      <w:pPr>
        <w:spacing w:after="100"/>
      </w:pPr>
      <w:r>
        <w:t>Recording note: skip any sentence that is not supported by the final live website or visible workbook. Keep the browser zoom readable and make sure the microphone captures speech clearly.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4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9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9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A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