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Arial" w:hAnsi="Arial"/>
          <w:b/>
          <w:color w:val="E50914"/>
          <w:sz w:val="76"/>
        </w:rPr>
        <w:t>NETFLIX</w:t>
      </w:r>
    </w:p>
    <w:p>
      <w:pPr>
        <w:jc w:val="center"/>
      </w:pPr>
      <w:r>
        <w:rPr>
          <w:b/>
          <w:color w:val="666666"/>
          <w:sz w:val="24"/>
        </w:rPr>
        <w:t>PROJECT REPORT</w:t>
      </w:r>
    </w:p>
    <w:p>
      <w:pPr>
        <w:jc w:val="center"/>
      </w:pPr>
      <w:r>
        <w:rPr>
          <w:b/>
          <w:color w:val="141414"/>
          <w:sz w:val="60"/>
        </w:rPr>
        <w:t>Netflix Dashboard Analysis</w:t>
      </w:r>
    </w:p>
    <w:p>
      <w:pPr>
        <w:jc w:val="center"/>
      </w:pPr>
      <w:r>
        <w:rPr>
          <w:color w:val="666666"/>
          <w:sz w:val="26"/>
        </w:rPr>
        <w:t>A visual analysis of catalog scale, content mix, genres, ratings, release years, and country coverage</w:t>
      </w:r>
    </w:p>
    <w:p>
      <w:pPr>
        <w:pStyle w:val="BodyText"/>
      </w:pPr>
      <w:r>
        <w:t>The complete dashboard image is provided once at the end of this report after all parameters and visual sections have been explained in text.</w:t>
      </w:r>
    </w:p>
    <w:tbl>
      <w:tblPr>
        <w:tblW w:type="auto" w:w="0"/>
        <w:jc w:val="center"/>
        <w:tblLayout w:type="fixed"/>
        <w:tblLook w:firstColumn="1" w:firstRow="1" w:lastColumn="0" w:lastRow="0" w:noHBand="0" w:noVBand="1" w:val="04A0"/>
      </w:tblPr>
      <w:tblGrid>
        <w:gridCol w:w="5040"/>
        <w:gridCol w:w="5040"/>
      </w:tblGrid>
      <w:tr>
        <w:tc>
          <w:tcPr>
            <w:tcW w:type="dxa" w:w="2880"/>
            <w:shd w:fill="FCE6E7"/>
          </w:tcPr>
          <w:p>
            <w:pPr>
              <w:spacing w:after="0"/>
            </w:pPr>
            <w:r/>
            <w:r>
              <w:rPr>
                <w:b/>
                <w:color w:val="E50914"/>
                <w:sz w:val="20"/>
              </w:rPr>
              <w:t>Student Name</w:t>
            </w:r>
          </w:p>
        </w:tc>
        <w:tc>
          <w:tcPr>
            <w:tcW w:type="dxa" w:w="6048"/>
          </w:tcPr>
          <w:p>
            <w:pPr>
              <w:spacing w:after="0"/>
            </w:pPr>
            <w:r/>
            <w:r>
              <w:rPr>
                <w:b w:val="0"/>
                <w:color w:val="141414"/>
                <w:sz w:val="20"/>
              </w:rPr>
              <w:t>Rudra Shukla</w:t>
            </w:r>
          </w:p>
        </w:tc>
      </w:tr>
      <w:tr>
        <w:tc>
          <w:tcPr>
            <w:tcW w:type="dxa" w:w="2880"/>
            <w:shd w:fill="FCE6E7"/>
          </w:tcPr>
          <w:p>
            <w:pPr>
              <w:spacing w:after="0"/>
            </w:pPr>
            <w:r/>
            <w:r>
              <w:rPr>
                <w:b/>
                <w:color w:val="E50914"/>
                <w:sz w:val="20"/>
              </w:rPr>
              <w:t>Roll Number</w:t>
            </w:r>
          </w:p>
        </w:tc>
        <w:tc>
          <w:tcPr>
            <w:tcW w:type="dxa" w:w="6048"/>
          </w:tcPr>
          <w:p>
            <w:pPr>
              <w:spacing w:after="0"/>
            </w:pPr>
            <w:r/>
            <w:r>
              <w:rPr>
                <w:b w:val="0"/>
                <w:color w:val="141414"/>
                <w:sz w:val="20"/>
              </w:rPr>
              <w:t>25</w:t>
            </w:r>
          </w:p>
        </w:tc>
      </w:tr>
      <w:tr>
        <w:tc>
          <w:tcPr>
            <w:tcW w:type="dxa" w:w="2880"/>
            <w:shd w:fill="FCE6E7"/>
          </w:tcPr>
          <w:p>
            <w:pPr>
              <w:spacing w:after="0"/>
            </w:pPr>
            <w:r/>
            <w:r>
              <w:rPr>
                <w:b/>
                <w:color w:val="E50914"/>
                <w:sz w:val="20"/>
              </w:rPr>
              <w:t>Batch</w:t>
            </w:r>
          </w:p>
        </w:tc>
        <w:tc>
          <w:tcPr>
            <w:tcW w:type="dxa" w:w="6048"/>
          </w:tcPr>
          <w:p>
            <w:pPr>
              <w:spacing w:after="0"/>
            </w:pPr>
            <w:r/>
            <w:r>
              <w:rPr>
                <w:b w:val="0"/>
                <w:color w:val="141414"/>
                <w:sz w:val="20"/>
              </w:rPr>
              <w:t>4</w:t>
            </w:r>
          </w:p>
        </w:tc>
      </w:tr>
      <w:tr>
        <w:tc>
          <w:tcPr>
            <w:tcW w:type="dxa" w:w="2880"/>
            <w:shd w:fill="FCE6E7"/>
          </w:tcPr>
          <w:p>
            <w:pPr>
              <w:spacing w:after="0"/>
            </w:pPr>
            <w:r/>
            <w:r>
              <w:rPr>
                <w:b/>
                <w:color w:val="E50914"/>
                <w:sz w:val="20"/>
              </w:rPr>
              <w:t>Domain</w:t>
            </w:r>
          </w:p>
        </w:tc>
        <w:tc>
          <w:tcPr>
            <w:tcW w:type="dxa" w:w="6048"/>
          </w:tcPr>
          <w:p>
            <w:pPr>
              <w:spacing w:after="0"/>
            </w:pPr>
            <w:r/>
            <w:r>
              <w:rPr>
                <w:b w:val="0"/>
                <w:color w:val="141414"/>
                <w:sz w:val="20"/>
              </w:rPr>
              <w:t>Entertainment</w:t>
            </w:r>
          </w:p>
        </w:tc>
      </w:tr>
      <w:tr>
        <w:tc>
          <w:tcPr>
            <w:tcW w:type="dxa" w:w="2880"/>
            <w:shd w:fill="FCE6E7"/>
          </w:tcPr>
          <w:p>
            <w:pPr>
              <w:spacing w:after="0"/>
            </w:pPr>
            <w:r/>
            <w:r>
              <w:rPr>
                <w:b/>
                <w:color w:val="E50914"/>
                <w:sz w:val="20"/>
              </w:rPr>
              <w:t>Report Type</w:t>
            </w:r>
          </w:p>
        </w:tc>
        <w:tc>
          <w:tcPr>
            <w:tcW w:type="dxa" w:w="6048"/>
          </w:tcPr>
          <w:p>
            <w:pPr>
              <w:spacing w:after="0"/>
            </w:pPr>
            <w:r/>
            <w:r>
              <w:rPr>
                <w:b w:val="0"/>
                <w:color w:val="141414"/>
                <w:sz w:val="20"/>
              </w:rPr>
              <w:t>Dashboard Analysis Project</w:t>
            </w:r>
          </w:p>
        </w:tc>
      </w:tr>
    </w:tbl>
    <w:p>
      <w:pPr>
        <w:pStyle w:val="Heading1"/>
      </w:pPr>
      <w:r>
        <w:t>Executive Summary</w:t>
      </w:r>
    </w:p>
    <w:p>
      <w:pPr>
        <w:pStyle w:val="BodyText"/>
      </w:pPr>
      <w:r>
        <w:t>This report analyses the supplied Netflix Dashboard created in Power BI. The dashboard combines headline KPIs with interactive visual sections for content type, genres, release year, ratings, and country distribution. The analysis is based on the screenshot provided by the student; therefore, every number is treated as a dashboard-state observation rather than an independently verified database total.</w:t>
      </w:r>
    </w:p>
    <w:p>
      <w:pPr>
        <w:pStyle w:val="BodyText"/>
      </w:pPr>
      <w:r>
        <w:t>The visible dashboard reports 8,788 releases, 4,525 directors, 86 countries, 6,125 movies, and 2,663 TV shows. The content-type panel indicates that movies form approximately 69.7% of the visible catalog, while TV shows represent approximately 30.3%. The release-year chart shows a strong concentration of titles in the later years, and the ratings view is led by TV-MA and TV-14.</w:t>
      </w:r>
    </w:p>
    <w:p>
      <w:pPr>
        <w:pStyle w:val="Heading1"/>
      </w:pPr>
      <w:r>
        <w:t>Table of Contents</w:t>
      </w:r>
    </w:p>
    <w:p>
      <w:pPr>
        <w:pStyle w:val="ListBullet"/>
      </w:pPr>
      <w:r>
        <w:t>1. Introduction</w:t>
      </w:r>
    </w:p>
    <w:p>
      <w:pPr>
        <w:pStyle w:val="ListBullet"/>
      </w:pPr>
      <w:r>
        <w:t>2. Objectives</w:t>
      </w:r>
    </w:p>
    <w:p>
      <w:pPr>
        <w:pStyle w:val="ListBullet"/>
      </w:pPr>
      <w:r>
        <w:t>3. Dashboard and Data Description</w:t>
      </w:r>
    </w:p>
    <w:p>
      <w:pPr>
        <w:pStyle w:val="ListBullet"/>
      </w:pPr>
      <w:r>
        <w:t>4. Methodology</w:t>
      </w:r>
    </w:p>
    <w:p>
      <w:pPr>
        <w:pStyle w:val="ListBullet"/>
      </w:pPr>
      <w:r>
        <w:t>5. Dashboard Analysis</w:t>
      </w:r>
    </w:p>
    <w:p>
      <w:pPr>
        <w:pStyle w:val="ListBullet"/>
      </w:pPr>
      <w:r>
        <w:t>6. Key Findings</w:t>
      </w:r>
    </w:p>
    <w:p>
      <w:pPr>
        <w:pStyle w:val="ListBullet"/>
      </w:pPr>
      <w:r>
        <w:t>7. Limitations</w:t>
      </w:r>
    </w:p>
    <w:p>
      <w:pPr>
        <w:pStyle w:val="ListBullet"/>
      </w:pPr>
      <w:r>
        <w:t>8. Conclusion and Recommendations</w:t>
      </w:r>
    </w:p>
    <w:p>
      <w:pPr>
        <w:pStyle w:val="Heading1"/>
      </w:pPr>
      <w:r>
        <w:t>1. Introduction</w:t>
      </w:r>
    </w:p>
    <w:p>
      <w:pPr>
        <w:pStyle w:val="BodyText"/>
      </w:pPr>
      <w:r>
        <w:t>Streaming platforms generate large catalogues that are difficult to understand through raw rows alone. A dashboard converts those records into a visual interface so that users can quickly compare categories, spot patterns, and explore changes over time. This project presents a structured reading of a Netflix content dashboard and explains what each visual communicates.</w:t>
      </w:r>
    </w:p>
    <w:p>
      <w:pPr>
        <w:pStyle w:val="Heading1"/>
      </w:pPr>
      <w:r>
        <w:t>2. Objectives</w:t>
      </w:r>
    </w:p>
    <w:p>
      <w:pPr>
        <w:pStyle w:val="ListBullet"/>
      </w:pPr>
      <w:r>
        <w:t>Summarise the scale of the visible Netflix catalogue.</w:t>
      </w:r>
    </w:p>
    <w:p>
      <w:pPr>
        <w:pStyle w:val="ListBullet"/>
      </w:pPr>
      <w:r>
        <w:t>Compare movies and TV shows using the Type visual.</w:t>
      </w:r>
    </w:p>
    <w:p>
      <w:pPr>
        <w:pStyle w:val="ListBullet"/>
      </w:pPr>
      <w:r>
        <w:t>Identify the most visible genre groups.</w:t>
      </w:r>
    </w:p>
    <w:p>
      <w:pPr>
        <w:pStyle w:val="ListBullet"/>
      </w:pPr>
      <w:r>
        <w:t>Interpret the release-year trend and the concentration of recent content.</w:t>
      </w:r>
    </w:p>
    <w:p>
      <w:pPr>
        <w:pStyle w:val="ListBullet"/>
      </w:pPr>
      <w:r>
        <w:t>Review rating categories and the likely audience positioning.</w:t>
      </w:r>
    </w:p>
    <w:p>
      <w:pPr>
        <w:pStyle w:val="ListBullet"/>
      </w:pPr>
      <w:r>
        <w:t>Explain the geographic distribution view and its analytical value.</w:t>
      </w:r>
    </w:p>
    <w:p>
      <w:pPr>
        <w:pStyle w:val="Heading1"/>
      </w:pPr>
      <w:r>
        <w:t>3. Dashboard and Data Description</w:t>
      </w:r>
    </w:p>
    <w:p>
      <w:pPr>
        <w:pStyle w:val="BodyText"/>
      </w:pPr>
      <w:r>
        <w:t>The dashboard is organised around a central Netflix brand panel, a KPI strip, filter controls, and five analytical sections. The filters shown in the screenshot include Movie/TV Show selection, a release-year range from 1931 to 2021, and a country selector set to All. Since dashboard metrics respond to filters, the active state should always be recorded when the dashboard is used for decision-making.</w:t>
      </w:r>
    </w:p>
    <w:p>
      <w:pPr>
        <w:pStyle w:val="Heading2"/>
      </w:pPr>
      <w:r>
        <w:t>3.1 Visible KPI Summary</w:t>
      </w:r>
    </w:p>
    <w:tbl>
      <w:tblPr>
        <w:tblW w:type="auto" w:w="0"/>
        <w:jc w:val="center"/>
        <w:tblLook w:firstColumn="1" w:firstRow="1" w:lastColumn="0" w:lastRow="0" w:noHBand="0" w:noVBand="1" w:val="04A0"/>
      </w:tblPr>
      <w:tblGrid>
        <w:gridCol w:w="3360"/>
        <w:gridCol w:w="3360"/>
        <w:gridCol w:w="3360"/>
      </w:tblGrid>
      <w:tr>
        <w:tc>
          <w:tcPr>
            <w:tcW w:type="dxa" w:w="3360"/>
            <w:shd w:fill="E50914"/>
          </w:tcPr>
          <w:p>
            <w:pPr>
              <w:spacing w:after="0"/>
            </w:pPr>
            <w:r/>
            <w:r>
              <w:rPr>
                <w:b/>
                <w:color w:val="FFFFFF"/>
                <w:sz w:val="20"/>
              </w:rPr>
              <w:t>Metric</w:t>
            </w:r>
          </w:p>
        </w:tc>
        <w:tc>
          <w:tcPr>
            <w:tcW w:type="dxa" w:w="3360"/>
            <w:shd w:fill="E50914"/>
          </w:tcPr>
          <w:p>
            <w:pPr>
              <w:spacing w:after="0"/>
            </w:pPr>
            <w:r/>
            <w:r>
              <w:rPr>
                <w:b/>
                <w:color w:val="FFFFFF"/>
                <w:sz w:val="20"/>
              </w:rPr>
              <w:t>Visible value</w:t>
            </w:r>
          </w:p>
        </w:tc>
        <w:tc>
          <w:tcPr>
            <w:tcW w:type="dxa" w:w="3360"/>
            <w:shd w:fill="E50914"/>
          </w:tcPr>
          <w:p>
            <w:pPr>
              <w:spacing w:after="0"/>
            </w:pPr>
            <w:r/>
            <w:r>
              <w:rPr>
                <w:b/>
                <w:color w:val="FFFFFF"/>
                <w:sz w:val="20"/>
              </w:rPr>
              <w:t>Interpretation</w:t>
            </w:r>
          </w:p>
        </w:tc>
      </w:tr>
      <w:tr>
        <w:tc>
          <w:tcPr>
            <w:tcW w:type="dxa" w:w="3360"/>
            <w:tcBorders>
              <w:bottom w:val="single" w:sz="4" w:color="DDDDDD"/>
            </w:tcBorders>
          </w:tcPr>
          <w:p>
            <w:pPr>
              <w:spacing w:after="0"/>
            </w:pPr>
            <w:r/>
            <w:r>
              <w:rPr>
                <w:b/>
                <w:color w:val="141414"/>
                <w:sz w:val="20"/>
              </w:rPr>
              <w:t>Releases</w:t>
            </w:r>
          </w:p>
        </w:tc>
        <w:tc>
          <w:tcPr>
            <w:tcW w:type="dxa" w:w="3360"/>
            <w:tcBorders>
              <w:bottom w:val="single" w:sz="4" w:color="DDDDDD"/>
            </w:tcBorders>
          </w:tcPr>
          <w:p>
            <w:pPr>
              <w:spacing w:after="0"/>
            </w:pPr>
            <w:r/>
            <w:r>
              <w:rPr>
                <w:b/>
                <w:color w:val="E50914"/>
                <w:sz w:val="20"/>
              </w:rPr>
              <w:t>8,788</w:t>
            </w:r>
          </w:p>
        </w:tc>
        <w:tc>
          <w:tcPr>
            <w:tcW w:type="dxa" w:w="3360"/>
            <w:tcBorders>
              <w:bottom w:val="single" w:sz="4" w:color="DDDDDD"/>
            </w:tcBorders>
          </w:tcPr>
          <w:p>
            <w:pPr>
              <w:spacing w:after="0"/>
            </w:pPr>
            <w:r/>
            <w:r>
              <w:rPr>
                <w:b w:val="0"/>
                <w:color w:val="141414"/>
                <w:sz w:val="20"/>
              </w:rPr>
              <w:t>Total titles shown in the visible dashboard state</w:t>
            </w:r>
          </w:p>
        </w:tc>
      </w:tr>
      <w:tr>
        <w:tc>
          <w:tcPr>
            <w:tcW w:type="dxa" w:w="3360"/>
            <w:tcBorders>
              <w:bottom w:val="single" w:sz="4" w:color="DDDDDD"/>
            </w:tcBorders>
          </w:tcPr>
          <w:p>
            <w:pPr>
              <w:spacing w:after="0"/>
            </w:pPr>
            <w:r/>
            <w:r>
              <w:rPr>
                <w:b/>
                <w:color w:val="141414"/>
                <w:sz w:val="20"/>
              </w:rPr>
              <w:t>Directors</w:t>
            </w:r>
          </w:p>
        </w:tc>
        <w:tc>
          <w:tcPr>
            <w:tcW w:type="dxa" w:w="3360"/>
            <w:tcBorders>
              <w:bottom w:val="single" w:sz="4" w:color="DDDDDD"/>
            </w:tcBorders>
          </w:tcPr>
          <w:p>
            <w:pPr>
              <w:spacing w:after="0"/>
            </w:pPr>
            <w:r/>
            <w:r>
              <w:rPr>
                <w:b/>
                <w:color w:val="E50914"/>
                <w:sz w:val="20"/>
              </w:rPr>
              <w:t>4,525</w:t>
            </w:r>
          </w:p>
        </w:tc>
        <w:tc>
          <w:tcPr>
            <w:tcW w:type="dxa" w:w="3360"/>
            <w:tcBorders>
              <w:bottom w:val="single" w:sz="4" w:color="DDDDDD"/>
            </w:tcBorders>
          </w:tcPr>
          <w:p>
            <w:pPr>
              <w:spacing w:after="0"/>
            </w:pPr>
            <w:r/>
            <w:r>
              <w:rPr>
                <w:b w:val="0"/>
                <w:color w:val="141414"/>
                <w:sz w:val="20"/>
              </w:rPr>
              <w:t>Distinct director count displayed by the dashboard</w:t>
            </w:r>
          </w:p>
        </w:tc>
      </w:tr>
      <w:tr>
        <w:tc>
          <w:tcPr>
            <w:tcW w:type="dxa" w:w="3360"/>
            <w:tcBorders>
              <w:bottom w:val="single" w:sz="4" w:color="DDDDDD"/>
            </w:tcBorders>
          </w:tcPr>
          <w:p>
            <w:pPr>
              <w:spacing w:after="0"/>
            </w:pPr>
            <w:r/>
            <w:r>
              <w:rPr>
                <w:b/>
                <w:color w:val="141414"/>
                <w:sz w:val="20"/>
              </w:rPr>
              <w:t>Countries</w:t>
            </w:r>
          </w:p>
        </w:tc>
        <w:tc>
          <w:tcPr>
            <w:tcW w:type="dxa" w:w="3360"/>
            <w:tcBorders>
              <w:bottom w:val="single" w:sz="4" w:color="DDDDDD"/>
            </w:tcBorders>
          </w:tcPr>
          <w:p>
            <w:pPr>
              <w:spacing w:after="0"/>
            </w:pPr>
            <w:r/>
            <w:r>
              <w:rPr>
                <w:b/>
                <w:color w:val="E50914"/>
                <w:sz w:val="20"/>
              </w:rPr>
              <w:t>86</w:t>
            </w:r>
          </w:p>
        </w:tc>
        <w:tc>
          <w:tcPr>
            <w:tcW w:type="dxa" w:w="3360"/>
            <w:tcBorders>
              <w:bottom w:val="single" w:sz="4" w:color="DDDDDD"/>
            </w:tcBorders>
          </w:tcPr>
          <w:p>
            <w:pPr>
              <w:spacing w:after="0"/>
            </w:pPr>
            <w:r/>
            <w:r>
              <w:rPr>
                <w:b w:val="0"/>
                <w:color w:val="141414"/>
                <w:sz w:val="20"/>
              </w:rPr>
              <w:t>Geographic coverage represented in the KPI strip</w:t>
            </w:r>
          </w:p>
        </w:tc>
      </w:tr>
      <w:tr>
        <w:tc>
          <w:tcPr>
            <w:tcW w:type="dxa" w:w="3360"/>
            <w:tcBorders>
              <w:bottom w:val="single" w:sz="4" w:color="DDDDDD"/>
            </w:tcBorders>
          </w:tcPr>
          <w:p>
            <w:pPr>
              <w:spacing w:after="0"/>
            </w:pPr>
            <w:r/>
            <w:r>
              <w:rPr>
                <w:b/>
                <w:color w:val="141414"/>
                <w:sz w:val="20"/>
              </w:rPr>
              <w:t>Movies</w:t>
            </w:r>
          </w:p>
        </w:tc>
        <w:tc>
          <w:tcPr>
            <w:tcW w:type="dxa" w:w="3360"/>
            <w:tcBorders>
              <w:bottom w:val="single" w:sz="4" w:color="DDDDDD"/>
            </w:tcBorders>
          </w:tcPr>
          <w:p>
            <w:pPr>
              <w:spacing w:after="0"/>
            </w:pPr>
            <w:r/>
            <w:r>
              <w:rPr>
                <w:b/>
                <w:color w:val="E50914"/>
                <w:sz w:val="20"/>
              </w:rPr>
              <w:t>6,125</w:t>
            </w:r>
          </w:p>
        </w:tc>
        <w:tc>
          <w:tcPr>
            <w:tcW w:type="dxa" w:w="3360"/>
            <w:tcBorders>
              <w:bottom w:val="single" w:sz="4" w:color="DDDDDD"/>
            </w:tcBorders>
          </w:tcPr>
          <w:p>
            <w:pPr>
              <w:spacing w:after="0"/>
            </w:pPr>
            <w:r/>
            <w:r>
              <w:rPr>
                <w:b w:val="0"/>
                <w:color w:val="141414"/>
                <w:sz w:val="20"/>
              </w:rPr>
              <w:t>Movie titles in the visible content mix</w:t>
            </w:r>
          </w:p>
        </w:tc>
      </w:tr>
      <w:tr>
        <w:tc>
          <w:tcPr>
            <w:tcW w:type="dxa" w:w="3360"/>
            <w:tcBorders>
              <w:bottom w:val="single" w:sz="4" w:color="DDDDDD"/>
            </w:tcBorders>
          </w:tcPr>
          <w:p>
            <w:pPr>
              <w:spacing w:after="0"/>
            </w:pPr>
            <w:r/>
            <w:r>
              <w:rPr>
                <w:b/>
                <w:color w:val="141414"/>
                <w:sz w:val="20"/>
              </w:rPr>
              <w:t>TV Shows</w:t>
            </w:r>
          </w:p>
        </w:tc>
        <w:tc>
          <w:tcPr>
            <w:tcW w:type="dxa" w:w="3360"/>
            <w:tcBorders>
              <w:bottom w:val="single" w:sz="4" w:color="DDDDDD"/>
            </w:tcBorders>
          </w:tcPr>
          <w:p>
            <w:pPr>
              <w:spacing w:after="0"/>
            </w:pPr>
            <w:r/>
            <w:r>
              <w:rPr>
                <w:b/>
                <w:color w:val="E50914"/>
                <w:sz w:val="20"/>
              </w:rPr>
              <w:t>2,663</w:t>
            </w:r>
          </w:p>
        </w:tc>
        <w:tc>
          <w:tcPr>
            <w:tcW w:type="dxa" w:w="3360"/>
            <w:tcBorders>
              <w:bottom w:val="single" w:sz="4" w:color="DDDDDD"/>
            </w:tcBorders>
          </w:tcPr>
          <w:p>
            <w:pPr>
              <w:spacing w:after="0"/>
            </w:pPr>
            <w:r/>
            <w:r>
              <w:rPr>
                <w:b w:val="0"/>
                <w:color w:val="141414"/>
                <w:sz w:val="20"/>
              </w:rPr>
              <w:t>TV show titles in the visible content mix</w:t>
            </w:r>
          </w:p>
        </w:tc>
      </w:tr>
    </w:tbl>
    <w:p>
      <w:pPr>
        <w:spacing w:after="200"/>
        <w:jc w:val="center"/>
      </w:pPr>
      <w:r>
        <w:rPr>
          <w:i/>
          <w:color w:val="666666"/>
          <w:sz w:val="18"/>
        </w:rPr>
        <w:t>Table 1. KPI values transcribed from the supplied dashboard screenshot.</w:t>
      </w:r>
    </w:p>
    <w:p>
      <w:pPr>
        <w:pStyle w:val="Heading1"/>
      </w:pPr>
      <w:r>
        <w:t>4. Methodology</w:t>
      </w:r>
    </w:p>
    <w:p>
      <w:pPr>
        <w:pStyle w:val="BodyText"/>
      </w:pPr>
      <w:r>
        <w:t>The report uses visual inspection of the supplied Power BI screenshot and focused crops of the dashboard. The process was: (1) identify the dashboard controls and active filters; (2) transcribe visible KPI values; (3) compare the Type categories; (4) read the leading labels in the Genres and Ratings visuals; (5) interpret the shape of the Release Year chart; and (6) describe the country map without inventing country-level counts that are not shown.</w:t>
      </w:r>
    </w:p>
    <w:p>
      <w:pPr>
        <w:pStyle w:val="BodyText"/>
      </w:pPr>
      <w:r>
        <w:t>No external dataset was introduced for the findings in this report. This approach keeps the discussion faithful to the evidence supplied by the student and clearly separates visible observations from recommendations for future analysis.</w:t>
      </w:r>
    </w:p>
    <w:p>
      <w:pPr>
        <w:pStyle w:val="Heading1"/>
      </w:pPr>
      <w:r>
        <w:t>5. Dashboard Analysis</w:t>
      </w:r>
    </w:p>
    <w:p>
      <w:pPr>
        <w:pStyle w:val="Heading2"/>
      </w:pPr>
      <w:r>
        <w:t>5.1 Dashboard Overview and Controls</w:t>
      </w:r>
    </w:p>
    <w:p>
      <w:pPr>
        <w:pStyle w:val="BodyText"/>
      </w:pPr>
      <w:r>
        <w:t>The overview establishes the dashboard as a single-screen catalogue explorer. The KPI strip provides immediate scale, while the Movie and TV Show buttons, year slider, and country selector enable the user to narrow the analysis. These controls are important because the numbers should be interpreted in relation to the selected filter state.</w:t>
      </w:r>
    </w:p>
    <w:p>
      <w:pPr>
        <w:pStyle w:val="Heading2"/>
      </w:pPr>
      <w:r>
        <w:t>5.2 Content Type: Movies versus TV Shows</w:t>
      </w:r>
    </w:p>
    <w:p>
      <w:pPr>
        <w:pStyle w:val="BodyText"/>
      </w:pPr>
      <w:r>
        <w:t>The Type visual shows 6,125 movies and 2,663 TV shows. Based on these displayed values, movies represent approximately 69.7% of the combined total and TV shows approximately 30.3%. The result is a movie-led catalogue, although the TV-show segment remains large enough to support separate series analysis.</w:t>
      </w:r>
    </w:p>
    <w:p>
      <w:pPr>
        <w:pStyle w:val="Heading2"/>
      </w:pPr>
      <w:r>
        <w:t>5.3 Genre Distribution</w:t>
      </w:r>
    </w:p>
    <w:p>
      <w:pPr>
        <w:pStyle w:val="BodyText"/>
      </w:pPr>
      <w:r>
        <w:t>The genre bars indicate a broad mix rather than a single-category catalogue. The leading visible labels include dramas, international content, documentaries, stand-up comedy, comedy, independent drama, and kids’ TV. This variety suggests that the dashboard can support both broad content planning and targeted audience segmentation.</w:t>
      </w:r>
    </w:p>
    <w:p>
      <w:pPr>
        <w:pStyle w:val="Heading2"/>
      </w:pPr>
      <w:r>
        <w:t>5.4 Release-Year Trend</w:t>
      </w:r>
    </w:p>
    <w:p>
      <w:pPr>
        <w:pStyle w:val="BodyText"/>
      </w:pPr>
      <w:r>
        <w:t>The release-year area chart remains comparatively low in earlier decades and rises sharply in the later period. The visual pattern indicates that the catalogue is concentrated around more recent releases. A useful next step would be to add exact labels or a year-by-year table so that the rate of growth can be measured rather than only observed visually.</w:t>
      </w:r>
    </w:p>
    <w:p>
      <w:pPr>
        <w:pStyle w:val="Heading2"/>
      </w:pPr>
      <w:r>
        <w:t>5.5 Ratings and Audience Positioning</w:t>
      </w:r>
    </w:p>
    <w:p>
      <w:pPr>
        <w:pStyle w:val="BodyText"/>
      </w:pPr>
      <w:r>
        <w:t>TV-MA is the longest visible bar, followed by TV-14, with TV-PG, R, and PG-13 appearing as smaller categories. This indicates a strong presence of mature and teen-oriented content. The ratings panel can therefore help a content analyst understand audience positioning and identify opportunities for family or general-audience programming.</w:t>
      </w:r>
    </w:p>
    <w:p>
      <w:pPr>
        <w:pStyle w:val="Heading2"/>
      </w:pPr>
      <w:r>
        <w:t>5.6 Geographic Distribution</w:t>
      </w:r>
    </w:p>
    <w:p>
      <w:pPr>
        <w:pStyle w:val="BodyText"/>
      </w:pPr>
      <w:r>
        <w:t>The map provides a global view of the catalogue and complements the 86-country KPI. It is useful for comparing geographic reach and identifying regions that may warrant deeper investigation. The screenshot does not provide exact country-level counts, so this report does not infer a ranking of countries.</w:t>
      </w:r>
    </w:p>
    <w:p>
      <w:pPr>
        <w:pStyle w:val="Heading2"/>
      </w:pPr>
      <w:r>
        <w:t>5.7 Geographic Content Distribution — Detailed Analysis</w:t>
      </w:r>
    </w:p>
    <w:p>
      <w:pPr>
        <w:pStyle w:val="BodyText"/>
      </w:pPr>
      <w:r>
        <w:t>The geographic view adds an important dimension to the dashboard because it shifts the question from “what content exists?” to “where is the catalogue represented?” The highlighted countries across the world indicate that the dashboard is designed for international catalogue exploration rather than a single-market view.</w:t>
      </w:r>
    </w:p>
    <w:p>
      <w:pPr>
        <w:pStyle w:val="BodyText"/>
      </w:pPr>
      <w:r>
        <w:t>At a high level, the map suggests broad coverage across North America, Europe, Asia, and other visible regions. The visual intensity should be treated as an indicator for comparative exploration, not as an exact count: the screenshot does not show a legend with country-level totals or a ranked table.</w:t>
      </w:r>
    </w:p>
    <w:p>
      <w:pPr>
        <w:pStyle w:val="Heading3"/>
      </w:pPr>
      <w:r>
        <w:t>Geographic interpretation</w:t>
      </w:r>
    </w:p>
    <w:p>
      <w:pPr>
        <w:pStyle w:val="ListBullet"/>
      </w:pPr>
      <w:r>
        <w:t>The country KPI establishes the breadth of the catalogue and indicates that the dataset is geographically diverse.</w:t>
      </w:r>
    </w:p>
    <w:p>
      <w:pPr>
        <w:pStyle w:val="ListBullet"/>
      </w:pPr>
      <w:r>
        <w:t>The map can help identify regions for follow-up analysis, such as comparing local production, licensing, or genre preferences.</w:t>
      </w:r>
    </w:p>
    <w:p>
      <w:pPr>
        <w:pStyle w:val="ListBullet"/>
      </w:pPr>
      <w:r>
        <w:t>A region with strong visual presence should not automatically be interpreted as the region with the most viewers; availability and audience performance are different measures.</w:t>
      </w:r>
    </w:p>
    <w:p>
      <w:pPr>
        <w:pStyle w:val="ListBullet"/>
      </w:pPr>
      <w:r>
        <w:t>The country filter makes it possible to isolate one geography and then compare its content type, ratings, genres, and release-year profile.</w:t>
      </w:r>
    </w:p>
    <w:p>
      <w:pPr>
        <w:pStyle w:val="Heading3"/>
      </w:pPr>
      <w:r>
        <w:t>Recommended geographic analyses</w:t>
      </w:r>
    </w:p>
    <w:p>
      <w:pPr>
        <w:pStyle w:val="ListBullet"/>
      </w:pPr>
      <w:r>
        <w:t>Add a ranked country table showing title count, movie share, TV-show share, and top genres.</w:t>
      </w:r>
    </w:p>
    <w:p>
      <w:pPr>
        <w:pStyle w:val="ListBullet"/>
      </w:pPr>
      <w:r>
        <w:t>Compare regions using consistent filters and the same release-year range.</w:t>
      </w:r>
    </w:p>
    <w:p>
      <w:pPr>
        <w:pStyle w:val="ListBullet"/>
      </w:pPr>
      <w:r>
        <w:t>Add audience metrics such as views, watch time, completion rate, or retention by country.</w:t>
      </w:r>
    </w:p>
    <w:p>
      <w:pPr>
        <w:pStyle w:val="ListBullet"/>
      </w:pPr>
      <w:r>
        <w:t>Use a drill-through page to move from region to title-level details.</w:t>
      </w:r>
    </w:p>
    <w:p>
      <w:pPr>
        <w:pStyle w:val="Heading1"/>
      </w:pPr>
      <w:r>
        <w:t>6. Key Findings</w:t>
      </w:r>
    </w:p>
    <w:p>
      <w:pPr>
        <w:pStyle w:val="ListBullet"/>
      </w:pPr>
      <w:r>
        <w:t>The dashboard presents a large, globally distributed Netflix catalogue.</w:t>
      </w:r>
    </w:p>
    <w:p>
      <w:pPr>
        <w:pStyle w:val="ListBullet"/>
      </w:pPr>
      <w:r>
        <w:t>Movies are the dominant content type, with roughly seven out of ten visible titles.</w:t>
      </w:r>
    </w:p>
    <w:p>
      <w:pPr>
        <w:pStyle w:val="ListBullet"/>
      </w:pPr>
      <w:r>
        <w:t>The genre mix is diverse, including drama, international content, documentary, comedy, stand-up, and kids’ programming.</w:t>
      </w:r>
    </w:p>
    <w:p>
      <w:pPr>
        <w:pStyle w:val="ListBullet"/>
      </w:pPr>
      <w:r>
        <w:t>Release activity is visually concentrated in more recent years, especially the later period shown on the chart.</w:t>
      </w:r>
    </w:p>
    <w:p>
      <w:pPr>
        <w:pStyle w:val="ListBullet"/>
      </w:pPr>
      <w:r>
        <w:t>TV-MA and TV-14 lead the visible rating categories, indicating strong mature and teen audience positioning.</w:t>
      </w:r>
    </w:p>
    <w:p>
      <w:pPr>
        <w:pStyle w:val="ListBullet"/>
      </w:pPr>
      <w:r>
        <w:t>Filters are central to interpretation; changing the selected type, year range, or country can change the displayed totals and charts.</w:t>
      </w:r>
    </w:p>
    <w:p>
      <w:pPr>
        <w:pStyle w:val="Heading1"/>
      </w:pPr>
      <w:r>
        <w:t>7. Limitations</w:t>
      </w:r>
    </w:p>
    <w:p>
      <w:pPr>
        <w:pStyle w:val="ListBullet"/>
      </w:pPr>
      <w:r>
        <w:t>The analysis is based on one screenshot and does not represent every possible filter state.</w:t>
      </w:r>
    </w:p>
    <w:p>
      <w:pPr>
        <w:pStyle w:val="ListBullet"/>
      </w:pPr>
      <w:r>
        <w:t>The report does not independently validate the underlying dataset or KPI definitions.</w:t>
      </w:r>
    </w:p>
    <w:p>
      <w:pPr>
        <w:pStyle w:val="ListBullet"/>
      </w:pPr>
      <w:r>
        <w:t>Some chart labels are truncated in the screenshot, limiting precise genre-level comparison.</w:t>
      </w:r>
    </w:p>
    <w:p>
      <w:pPr>
        <w:pStyle w:val="ListBullet"/>
      </w:pPr>
      <w:r>
        <w:t>The map shows geographic coverage but not enough detail to report country-specific totals.</w:t>
      </w:r>
    </w:p>
    <w:p>
      <w:pPr>
        <w:pStyle w:val="ListBullet"/>
      </w:pPr>
      <w:r>
        <w:t>No audience-performance metrics such as views, watch time, retention, or revenue are included.</w:t>
      </w:r>
    </w:p>
    <w:p>
      <w:pPr>
        <w:pStyle w:val="Heading1"/>
      </w:pPr>
      <w:r>
        <w:t>8. Conclusion and Recommendations</w:t>
      </w:r>
    </w:p>
    <w:p>
      <w:pPr>
        <w:pStyle w:val="BodyText"/>
      </w:pPr>
      <w:r>
        <w:t>The Netflix Dashboard is an effective visual starting point for understanding catalogue composition. It communicates scale quickly, highlights the movie-led structure of the library, shows the growth of recent releases, and gives a useful first view of genres, ratings, and global reach.</w:t>
      </w:r>
    </w:p>
    <w:p>
      <w:pPr>
        <w:pStyle w:val="BodyText"/>
      </w:pPr>
      <w:r>
        <w:t>For a stronger next version, the dashboard should include exact data labels, a filter-state summary, a searchable title table, and business-facing metrics such as views, completion rate, watch time, retention, and production cost. These additions would move the dashboard from descriptive catalogue analysis toward performance and decision analysis.</w:t>
      </w:r>
    </w:p>
    <w:p>
      <w:r>
        <w:drawing>
          <wp:inline xmlns:a="http://schemas.openxmlformats.org/drawingml/2006/main" xmlns:pic="http://schemas.openxmlformats.org/drawingml/2006/picture">
            <wp:extent cx="6400800" cy="3617626"/>
            <wp:docPr id="1" name="Picture 1"/>
            <wp:cNvGraphicFramePr>
              <a:graphicFrameLocks noChangeAspect="1"/>
            </wp:cNvGraphicFramePr>
            <a:graphic>
              <a:graphicData uri="http://schemas.openxmlformats.org/drawingml/2006/picture">
                <pic:pic>
                  <pic:nvPicPr>
                    <pic:cNvPr id="0" name="NETFLIXDASHBOARDIMAGE.png"/>
                    <pic:cNvPicPr/>
                  </pic:nvPicPr>
                  <pic:blipFill>
                    <a:blip r:embed="rId11"/>
                    <a:stretch>
                      <a:fillRect/>
                    </a:stretch>
                  </pic:blipFill>
                  <pic:spPr>
                    <a:xfrm>
                      <a:off x="0" y="0"/>
                      <a:ext cx="6400800" cy="3617626"/>
                    </a:xfrm>
                    <a:prstGeom prst="rect"/>
                  </pic:spPr>
                </pic:pic>
              </a:graphicData>
            </a:graphic>
          </wp:inline>
        </w:drawing>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Rudra Shukla  •  Roll No. 25  •  </w:t>
    </w:r>
    <w:r>
      <w:rPr>
        <w:color w:val="666666"/>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E50914"/>
        <w:sz w:val="18"/>
      </w:rPr>
      <w:t>NETFLIX  |  DASHBOARD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E5091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4141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E5091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E5091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76"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