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Active Reconnaissance &amp; Vulnerability Scannin</w:t>
      </w:r>
      <w:r>
        <w:rPr/>
        <w:t>g Report</w:t>
      </w:r>
      <w:r>
        <w:rPr/>
        <w:t xml:space="preserve"> </w:t>
      </w:r>
    </w:p>
    <w:p>
      <w:pPr>
        <w:pStyle w:val="Title"/>
        <w:rPr/>
      </w:pPr>
      <w:r>
        <w:rPr/>
        <mc:AlternateContent>
          <mc:Choice Requires="wps">
            <w:drawing>
              <wp:anchor distT="0" distB="0" distL="0" distR="0" simplePos="0" relativeHeight="6" behindDoc="0" locked="0" layoutInCell="1" allowOverlap="1">
                <wp:simplePos x="0" y="0"/>
                <wp:positionH relativeFrom="column">
                  <wp:posOffset>407670</wp:posOffset>
                </wp:positionH>
                <wp:positionV relativeFrom="paragraph">
                  <wp:posOffset>198120</wp:posOffset>
                </wp:positionV>
                <wp:extent cx="5487035" cy="27940"/>
                <wp:effectExtent l="18415" t="18415" r="18415" b="18415"/>
                <wp:wrapNone/>
                <wp:docPr id="1" name="Line 1"/>
                <a:graphic xmlns:a="http://schemas.openxmlformats.org/drawingml/2006/main">
                  <a:graphicData uri="http://schemas.microsoft.com/office/word/2010/wordprocessingShape">
                    <wps:wsp>
                      <wps:cNvSpPr/>
                      <wps:spPr>
                        <a:xfrm flipV="1">
                          <a:off x="0" y="0"/>
                          <a:ext cx="5487120" cy="28080"/>
                        </a:xfrm>
                        <a:prstGeom prst="line">
                          <a:avLst/>
                        </a:prstGeom>
                        <a:ln w="36360">
                          <a:solidFill>
                            <a:srgbClr val="000000"/>
                          </a:solidFill>
                          <a:round/>
                        </a:ln>
                      </wps:spPr>
                      <wps:style>
                        <a:lnRef idx="0"/>
                        <a:fillRef idx="0"/>
                        <a:effectRef idx="0"/>
                        <a:fontRef idx="minor"/>
                      </wps:style>
                      <wps:bodyPr/>
                    </wps:wsp>
                  </a:graphicData>
                </a:graphic>
              </wp:anchor>
            </w:drawing>
          </mc:Choice>
          <mc:Fallback>
            <w:pict>
              <v:line id="shape_0" from="32.1pt,15.6pt" to="464.1pt,17.75pt" stroked="t" o:allowincell="f" style="position:absolute;flip:y">
                <v:stroke color="black" weight="36360" joinstyle="round" endcap="flat"/>
                <v:fill o:detectmouseclick="t" on="false"/>
                <w10:wrap type="none"/>
              </v:line>
            </w:pict>
          </mc:Fallback>
        </mc:AlternateContent>
      </w:r>
    </w:p>
    <w:p>
      <w:pPr>
        <w:pStyle w:val="BodyText"/>
        <w:bidi w:val="0"/>
        <w:spacing w:before="0" w:after="0"/>
        <w:jc w:val="left"/>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sectPr>
          <w:type w:val="nextPage"/>
          <w:pgSz w:w="11906" w:h="16838"/>
          <w:pgMar w:left="1162" w:right="1162" w:gutter="0" w:header="0" w:top="1162" w:footer="0" w:bottom="1162"/>
          <w:pgNumType w:fmt="decimal"/>
          <w:formProt w:val="false"/>
          <w:textDirection w:val="lrTb"/>
          <w:docGrid w:type="default" w:linePitch="100" w:charSpace="0"/>
        </w:sectPr>
      </w:pPr>
    </w:p>
    <w:tbl>
      <w:tblPr>
        <w:tblW w:w="8895" w:type="dxa"/>
        <w:jc w:val="left"/>
        <w:tblInd w:w="180" w:type="dxa"/>
        <w:tblLayout w:type="fixed"/>
        <w:tblCellMar>
          <w:top w:w="120" w:type="dxa"/>
          <w:left w:w="180" w:type="dxa"/>
          <w:bottom w:w="120" w:type="dxa"/>
          <w:right w:w="180" w:type="dxa"/>
        </w:tblCellMar>
      </w:tblPr>
      <w:tblGrid>
        <w:gridCol w:w="3630"/>
        <w:gridCol w:w="5265"/>
      </w:tblGrid>
      <w:tr>
        <w:trPr>
          <w:tblHeader w:val="true"/>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32"/>
                <w:szCs w:val="32"/>
              </w:rPr>
              <w:t>Parameter</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32"/>
                <w:szCs w:val="32"/>
              </w:rPr>
              <w:t>Details</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Prepared By</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b/>
                <w:sz w:val="28"/>
                <w:szCs w:val="28"/>
              </w:rPr>
              <w:t>Rudresha rk</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Target System</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Metasploitable 2 (Linux)</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Target IP Address</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Style w:val="SourceText"/>
                <w:rFonts w:ascii="Timesnewroman" w:hAnsi="Timesnewroman"/>
                <w:sz w:val="28"/>
                <w:szCs w:val="28"/>
              </w:rPr>
              <w:t>192.168.56.101</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Attacker Machine</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Kali Linux</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Network Type</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VirtualBox Host-Only (</w:t>
            </w:r>
            <w:r>
              <w:rPr>
                <w:rStyle w:val="SourceText"/>
                <w:rFonts w:ascii="Timesnewroman" w:hAnsi="Timesnewroman"/>
                <w:sz w:val="28"/>
                <w:szCs w:val="28"/>
              </w:rPr>
              <w:t>192.168.56.0/24</w:t>
            </w:r>
            <w:r>
              <w:rPr>
                <w:rFonts w:ascii="Timesnewroman" w:hAnsi="Timesnewroman"/>
                <w:sz w:val="28"/>
                <w:szCs w:val="28"/>
              </w:rPr>
              <w:t>)</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Tools Used</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Nmap, Nikto</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Assessment Type</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Active Reconnaissance &amp; Vulnerability Scanning</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Date</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June 3, 2026</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Institution</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InternSpark internship</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Classification</w:t>
            </w:r>
          </w:p>
        </w:tc>
        <w:tc>
          <w:tcPr>
            <w:tcW w:w="52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CONFIDENTIAL / INTERNAL ONLY</w:t>
            </w:r>
          </w:p>
        </w:tc>
      </w:tr>
    </w:tbl>
    <w:p>
      <w:pPr>
        <w:pStyle w:val="Heading2"/>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2"/>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2"/>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r>
    </w:p>
    <w:p>
      <w:pPr>
        <w:pStyle w:val="Heading2"/>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r>
    </w:p>
    <w:p>
      <w:pPr>
        <w:pStyle w:val="Heading2"/>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1. Introduction</w:t>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1.1 Purpose</w:t>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This report presents the findings of an active reconnaissance and vulnerability assessment conducted on a controlled, isolated test environment. The objective was to identify open ports, running services, software versions, and exploitable vulnerabilities on the target system using industry-standard ethical hacking tools and methodologies. The assessment was performed as part of a structured cybersecurity internship curriculum focusing on offensive security techniques, responsible vulnerability disclosure, and professional security documentation practices.</w:t>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1.2 Scope</w:t>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All activities were carried out exclusively within an isolated VirtualBox Host-Only network. The target machine, Metasploitable 2, is an intentionally vulnerable Linux-based virtual machine designed specifically for penetration testing practice. No external networks, public IP addresses, or third-party systems were accessed or affected at any point during this assessment.</w:t>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1.3 Objectives</w:t>
      </w:r>
    </w:p>
    <w:p>
      <w:pPr>
        <w:pStyle w:val="BodyText"/>
        <w:numPr>
          <w:ilvl w:val="0"/>
          <w:numId w:val="2"/>
        </w:numPr>
        <w:pBdr/>
        <w:tabs>
          <w:tab w:val="clear" w:pos="709"/>
          <w:tab w:val="left" w:pos="0" w:leader="none"/>
        </w:tabs>
        <w:spacing w:lineRule="auto" w:line="274" w:before="0" w:after="140"/>
        <w:ind w:hanging="283" w:left="709"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Perform host discovery and confirm availability of the target on the local network.</w:t>
      </w:r>
    </w:p>
    <w:p>
      <w:pPr>
        <w:pStyle w:val="BodyText"/>
        <w:numPr>
          <w:ilvl w:val="0"/>
          <w:numId w:val="2"/>
        </w:numPr>
        <w:pBdr/>
        <w:tabs>
          <w:tab w:val="clear" w:pos="709"/>
          <w:tab w:val="left" w:pos="0" w:leader="none"/>
        </w:tabs>
        <w:spacing w:lineRule="auto" w:line="274" w:before="0" w:after="140"/>
        <w:ind w:hanging="283" w:left="709"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Enumerate all open TCP ports and identify services and software versions running on each.</w:t>
      </w:r>
    </w:p>
    <w:p>
      <w:pPr>
        <w:pStyle w:val="BodyText"/>
        <w:numPr>
          <w:ilvl w:val="0"/>
          <w:numId w:val="2"/>
        </w:numPr>
        <w:pBdr/>
        <w:tabs>
          <w:tab w:val="clear" w:pos="709"/>
          <w:tab w:val="left" w:pos="0" w:leader="none"/>
        </w:tabs>
        <w:spacing w:lineRule="auto" w:line="274" w:before="0" w:after="140"/>
        <w:ind w:hanging="283" w:left="709"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Conduct web server vulnerability scanning to detect misconfigurations, exposed files, and insecure components.</w:t>
      </w:r>
    </w:p>
    <w:p>
      <w:pPr>
        <w:pStyle w:val="BodyText"/>
        <w:numPr>
          <w:ilvl w:val="0"/>
          <w:numId w:val="2"/>
        </w:numPr>
        <w:pBdr/>
        <w:tabs>
          <w:tab w:val="clear" w:pos="709"/>
          <w:tab w:val="left" w:pos="0" w:leader="none"/>
        </w:tabs>
        <w:spacing w:lineRule="auto" w:line="274" w:before="0" w:after="140"/>
        <w:ind w:hanging="283" w:left="709"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Document all identified vulnerabilities with severity ratings, risk descriptions, and remediation steps.</w:t>
      </w:r>
    </w:p>
    <w:p>
      <w:pPr>
        <w:pStyle w:val="BodyText"/>
        <w:numPr>
          <w:ilvl w:val="0"/>
          <w:numId w:val="2"/>
        </w:numPr>
        <w:pBdr/>
        <w:tabs>
          <w:tab w:val="clear" w:pos="709"/>
          <w:tab w:val="left" w:pos="0" w:leader="none"/>
        </w:tabs>
        <w:spacing w:lineRule="auto" w:line="274" w:before="0" w:after="140"/>
        <w:ind w:hanging="283" w:left="709"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Produce a structured security report suitable for technical review and academic submission.</w:t>
      </w:r>
    </w:p>
    <w:p>
      <w:pPr>
        <w:pStyle w:val="Heading2"/>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2. Executive Summary</w:t>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A total of six (6) core vulnerabilities were flagged during this assessment. The target system, Metasploitable 2, presents an extremely weak security posture due to the presence of multiple backdoored services, legacy unencrypted remote access protocols, and critical databases running completely without authentication controls.</w:t>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Vulnerability Distribution Matrix</w:t>
      </w:r>
    </w:p>
    <w:tbl>
      <w:tblPr>
        <w:tblW w:w="7260" w:type="dxa"/>
        <w:jc w:val="left"/>
        <w:tblInd w:w="180" w:type="dxa"/>
        <w:tblLayout w:type="fixed"/>
        <w:tblCellMar>
          <w:top w:w="120" w:type="dxa"/>
          <w:left w:w="180" w:type="dxa"/>
          <w:bottom w:w="120" w:type="dxa"/>
          <w:right w:w="180" w:type="dxa"/>
        </w:tblCellMar>
      </w:tblPr>
      <w:tblGrid>
        <w:gridCol w:w="3630"/>
        <w:gridCol w:w="3630"/>
      </w:tblGrid>
      <w:tr>
        <w:trPr>
          <w:tblHeader w:val="true"/>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Severity</w:t>
            </w:r>
          </w:p>
        </w:tc>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Count</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CRITICAL</w:t>
            </w:r>
          </w:p>
        </w:tc>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2</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3</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MEDIUM</w:t>
            </w:r>
          </w:p>
        </w:tc>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1</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LOW</w:t>
            </w:r>
          </w:p>
        </w:tc>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0</w:t>
            </w:r>
          </w:p>
        </w:tc>
      </w:tr>
      <w:tr>
        <w:trPr/>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Total</w:t>
            </w:r>
          </w:p>
        </w:tc>
        <w:tc>
          <w:tcPr>
            <w:tcW w:w="36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6</w:t>
            </w:r>
          </w:p>
        </w:tc>
      </w:tr>
    </w:tbl>
    <w:p>
      <w:pPr>
        <w:pStyle w:val="Heading2"/>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2"/>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3. Scan Results &amp; Evidence Injection</w:t>
      </w:r>
    </w:p>
    <w:p>
      <w:pPr>
        <w:pStyle w:val="Heading3"/>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3.1 Host Discovery — Nmap Ping Sweep</w:t>
      </w:r>
    </w:p>
    <w:p>
      <w:pPr>
        <w:pStyle w:val="BodyText"/>
        <w:numPr>
          <w:ilvl w:val="0"/>
          <w:numId w:val="3"/>
        </w:numPr>
        <w:pBdr/>
        <w:tabs>
          <w:tab w:val="clear" w:pos="709"/>
          <w:tab w:val="left" w:pos="0" w:leader="none"/>
        </w:tabs>
        <w:spacing w:lineRule="auto" w:line="274" w:before="0" w:after="140"/>
        <w:ind w:hanging="283" w:left="709" w:right="0"/>
        <w:rPr>
          <w:rFonts w:ascii="Timesnewroman" w:hAnsi="Timesnewroman" w:eastAsia="Noto Sans Mono CJK SC" w:cs="Liberation Mono"/>
          <w:b/>
          <w:sz w:val="28"/>
          <w:szCs w:val="28"/>
        </w:rPr>
      </w:pPr>
      <w:r>
        <w:rPr>
          <w:rFonts w:eastAsia="Noto Sans Mono CJK SC" w:cs="Liberation Mono" w:ascii="Timesnewroman" w:hAnsi="Timesnewroman"/>
          <w:b/>
          <w:sz w:val="28"/>
          <w:szCs w:val="28"/>
        </w:rPr>
        <w:t>Command executed:</w:t>
      </w:r>
    </w:p>
    <w:p>
      <w:pPr>
        <w:pStyle w:val="BodyText"/>
        <w:numPr>
          <w:ilvl w:val="0"/>
          <w:numId w:val="0"/>
        </w:numPr>
        <w:pBdr/>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Bash</w:t>
      </w:r>
    </w:p>
    <w:p>
      <w:pPr>
        <w:pStyle w:val="PreformattedText"/>
        <w:numPr>
          <w:ilvl w:val="0"/>
          <w:numId w:val="0"/>
        </w:numPr>
        <w:pBdr/>
        <w:spacing w:lineRule="auto" w:line="274" w:before="0" w:after="0"/>
        <w:ind w:hanging="0" w:left="0" w:right="0"/>
        <w:rPr/>
      </w:pPr>
      <w:r>
        <w:rPr>
          <w:rStyle w:val="SourceText"/>
          <w:rFonts w:ascii="Timesnewroman" w:hAnsi="Timesnewroman"/>
          <w:sz w:val="28"/>
          <w:szCs w:val="28"/>
        </w:rPr>
        <w:t>nmap -sn 192.168.56.101</w:t>
      </w:r>
    </w:p>
    <w:p>
      <w:pPr>
        <w:pStyle w:val="PreformattedText"/>
        <w:spacing w:lineRule="auto" w:line="274" w:before="0" w:after="0"/>
        <w:ind w:hanging="0" w:left="0" w:right="0"/>
        <w:rPr>
          <w:rFonts w:ascii="Timesnewroman" w:hAnsi="Timesnewroman"/>
          <w:sz w:val="28"/>
          <w:szCs w:val="28"/>
        </w:rPr>
      </w:pPr>
      <w:r>
        <w:rPr>
          <w:rFonts w:ascii="Timesnewroman" w:hAnsi="Timesnewroman"/>
          <w:sz w:val="28"/>
          <w:szCs w:val="28"/>
        </w:rPr>
      </w:r>
    </w:p>
    <w:p>
      <w:pPr>
        <w:pStyle w:val="PreformattedText"/>
        <w:spacing w:lineRule="auto" w:line="274" w:before="0" w:after="0"/>
        <w:rPr>
          <w:rStyle w:val="SourceText"/>
          <w:rFonts w:ascii="Timesnewroman" w:hAnsi="Timesnewroman"/>
          <w:sz w:val="28"/>
          <w:szCs w:val="28"/>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120078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6120130" cy="1200785"/>
                    </a:xfrm>
                    <a:prstGeom prst="rect">
                      <a:avLst/>
                    </a:prstGeom>
                    <a:noFill/>
                  </pic:spPr>
                </pic:pic>
              </a:graphicData>
            </a:graphic>
          </wp:anchor>
        </w:drawing>
      </w:r>
    </w:p>
    <w:p>
      <w:pPr>
        <w:pStyle w:val="PreformattedText"/>
        <w:spacing w:lineRule="auto" w:line="274" w:before="0" w:after="0"/>
        <w:rPr>
          <w:rFonts w:ascii="Timesnewroman" w:hAnsi="Timesnewroman"/>
          <w:sz w:val="30"/>
          <w:szCs w:val="30"/>
        </w:rPr>
      </w:pPr>
      <w:r>
        <w:rPr>
          <w:rFonts w:ascii="Timesnewroman" w:hAnsi="Timesnewroman"/>
          <w:sz w:val="30"/>
          <w:szCs w:val="30"/>
        </w:rPr>
      </w:r>
    </w:p>
    <w:p>
      <w:pPr>
        <w:pStyle w:val="PreformattedText"/>
        <w:spacing w:lineRule="auto" w:line="274" w:before="0" w:after="0"/>
        <w:rPr/>
      </w:pPr>
      <w:r>
        <w:rPr>
          <w:rStyle w:val="SourceText"/>
          <w:rFonts w:ascii="Timesnewroman" w:hAnsi="Timesnewroman"/>
          <w:sz w:val="30"/>
          <w:szCs w:val="30"/>
        </w:rPr>
        <w:t>3.2 Port &amp; Service Enumeration — Nmap -sV Scan</w:t>
      </w:r>
    </w:p>
    <w:p>
      <w:pPr>
        <w:pStyle w:val="PreformattedText"/>
        <w:spacing w:lineRule="auto" w:line="274" w:before="0" w:after="0"/>
        <w:rPr/>
      </w:pPr>
      <w:r>
        <w:rPr>
          <w:rStyle w:val="SourceText"/>
          <w:rFonts w:ascii="Timesnewroman" w:hAnsi="Timesnewroman"/>
          <w:sz w:val="30"/>
          <w:szCs w:val="30"/>
        </w:rPr>
        <w:t>Command executed:</w:t>
      </w:r>
    </w:p>
    <w:p>
      <w:pPr>
        <w:pStyle w:val="PreformattedText"/>
        <w:spacing w:lineRule="auto" w:line="274" w:before="0" w:after="0"/>
        <w:rPr/>
      </w:pPr>
      <w:r>
        <w:rPr>
          <w:rStyle w:val="SourceText"/>
          <w:rFonts w:ascii="Timesnewroman" w:hAnsi="Timesnewroman"/>
          <w:sz w:val="30"/>
          <w:szCs w:val="30"/>
        </w:rPr>
        <w:t xml:space="preserve"> </w:t>
      </w:r>
    </w:p>
    <w:p>
      <w:pPr>
        <w:pStyle w:val="PreformattedText"/>
        <w:spacing w:lineRule="auto" w:line="274" w:before="0" w:after="0"/>
        <w:rPr/>
      </w:pPr>
      <w:r>
        <w:rPr>
          <w:rStyle w:val="SourceText"/>
          <w:rFonts w:ascii="Timesnewroman" w:hAnsi="Timesnewroman"/>
          <w:sz w:val="30"/>
          <w:szCs w:val="30"/>
        </w:rPr>
        <w:t xml:space="preserve">  </w:t>
      </w:r>
      <w:r>
        <w:rPr>
          <w:rStyle w:val="SourceText"/>
          <w:rFonts w:ascii="Timesnewroman" w:hAnsi="Timesnewroman"/>
          <w:sz w:val="30"/>
          <w:szCs w:val="30"/>
        </w:rPr>
        <w:t>nmap -sV 192.168.56.101</w:t>
      </w:r>
    </w:p>
    <w:p>
      <w:pPr>
        <w:pStyle w:val="Heading4"/>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4"/>
        <w:spacing w:lineRule="auto" w:line="274" w:before="0" w:after="140"/>
        <w:ind w:hanging="0" w:left="0" w:right="0"/>
        <w:rPr>
          <w:rStyle w:val="SourceText"/>
          <w:rFonts w:ascii="Timesnewroman" w:hAnsi="Timesnewroman"/>
          <w:sz w:val="28"/>
          <w:szCs w:val="28"/>
        </w:rPr>
      </w:pPr>
      <w:r>
        <w:rPr>
          <w:rFonts w:eastAsia="Noto Sans Mono CJK SC" w:cs="Liberation Mono" w:ascii="Liberation Mono" w:hAnsi="Liberation Mono"/>
          <w:sz w:val="20"/>
          <w:szCs w:val="20"/>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276415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3"/>
                    <a:stretch>
                      <a:fillRect/>
                    </a:stretch>
                  </pic:blipFill>
                  <pic:spPr bwMode="auto">
                    <a:xfrm>
                      <a:off x="0" y="0"/>
                      <a:ext cx="6120130" cy="2764155"/>
                    </a:xfrm>
                    <a:prstGeom prst="rect">
                      <a:avLst/>
                    </a:prstGeom>
                    <a:noFill/>
                  </pic:spPr>
                </pic:pic>
              </a:graphicData>
            </a:graphic>
          </wp:anchor>
        </w:drawing>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3"/>
        <w:rPr>
          <w:sz w:val="30"/>
          <w:szCs w:val="30"/>
        </w:rPr>
      </w:pPr>
      <w:r>
        <w:rPr>
          <w:sz w:val="30"/>
          <w:szCs w:val="30"/>
        </w:rPr>
        <w:t>The primary targets of interest identified on the machine include:</w:t>
      </w:r>
    </w:p>
    <w:tbl>
      <w:tblPr>
        <w:tblW w:w="9585" w:type="dxa"/>
        <w:jc w:val="left"/>
        <w:tblInd w:w="180" w:type="dxa"/>
        <w:tblLayout w:type="fixed"/>
        <w:tblCellMar>
          <w:top w:w="120" w:type="dxa"/>
          <w:left w:w="180" w:type="dxa"/>
          <w:bottom w:w="120" w:type="dxa"/>
          <w:right w:w="180" w:type="dxa"/>
        </w:tblCellMar>
      </w:tblPr>
      <w:tblGrid>
        <w:gridCol w:w="1590"/>
        <w:gridCol w:w="1410"/>
        <w:gridCol w:w="3239"/>
        <w:gridCol w:w="1531"/>
        <w:gridCol w:w="1815"/>
      </w:tblGrid>
      <w:tr>
        <w:trPr>
          <w:tblHeader w:val="true"/>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Port</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State</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Service &amp; Version</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Severity</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Finding Ref.</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21/tcp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vsftpd 2.3.4</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CRITICAL</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F-01</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22/tcp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OpenSSH 4.7p1</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LOW</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23/tcp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Linux telnetd</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F-02</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80/tcp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Apache httpd 2.2.8</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MEDIUM</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F-05</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139/tcp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Samba smbd 3.X</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F-03</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445/tcp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Samba smbd 3.0.20</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F-03</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3306/tcp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MySQL 5.0.51a</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F-04</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5432/tcp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PostgreSQL DB 8.3</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MEDIUM</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6667/tcp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UnrealIRCd</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CRITICAL</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F-06</w:t>
            </w:r>
          </w:p>
        </w:tc>
      </w:tr>
      <w:tr>
        <w:trPr/>
        <w:tc>
          <w:tcPr>
            <w:tcW w:w="159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8180/tcp</w:t>
            </w:r>
          </w:p>
        </w:tc>
        <w:tc>
          <w:tcPr>
            <w:tcW w:w="141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open</w:t>
            </w:r>
          </w:p>
        </w:tc>
        <w:tc>
          <w:tcPr>
            <w:tcW w:w="323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Apache Tomcat/Coyote JSP engine 1.1</w:t>
            </w:r>
          </w:p>
        </w:tc>
        <w:tc>
          <w:tcPr>
            <w:tcW w:w="1531"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MEDIUM</w:t>
            </w:r>
          </w:p>
        </w:tc>
        <w:tc>
          <w:tcPr>
            <w:tcW w:w="18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w:t>
            </w:r>
          </w:p>
        </w:tc>
      </w:tr>
    </w:tbl>
    <w:p>
      <w:pPr>
        <w:pStyle w:val="Heading3"/>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3.3 Aggressive Scripts and OS Footprinting Scan</w:t>
      </w:r>
    </w:p>
    <w:p>
      <w:pPr>
        <w:pStyle w:val="BodyText"/>
        <w:numPr>
          <w:ilvl w:val="0"/>
          <w:numId w:val="4"/>
        </w:numPr>
        <w:pBdr/>
        <w:tabs>
          <w:tab w:val="clear" w:pos="709"/>
          <w:tab w:val="left" w:pos="0" w:leader="none"/>
        </w:tabs>
        <w:spacing w:lineRule="auto" w:line="274" w:before="0" w:after="140"/>
        <w:ind w:hanging="283" w:left="709" w:right="0"/>
        <w:rPr>
          <w:rFonts w:ascii="Timesnewroman" w:hAnsi="Timesnewroman" w:eastAsia="Noto Sans Mono CJK SC" w:cs="Liberation Mono"/>
          <w:b/>
          <w:sz w:val="30"/>
          <w:szCs w:val="30"/>
        </w:rPr>
      </w:pPr>
      <w:r>
        <w:rPr>
          <w:rFonts w:eastAsia="Noto Sans Mono CJK SC" w:cs="Liberation Mono" w:ascii="Timesnewroman" w:hAnsi="Timesnewroman"/>
          <w:b/>
          <w:sz w:val="30"/>
          <w:szCs w:val="30"/>
        </w:rPr>
        <w:t>Command executed:</w:t>
      </w:r>
    </w:p>
    <w:p>
      <w:pPr>
        <w:pStyle w:val="BodyText"/>
        <w:numPr>
          <w:ilvl w:val="0"/>
          <w:numId w:val="0"/>
        </w:numPr>
        <w:pBdr/>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Bash</w:t>
      </w:r>
    </w:p>
    <w:p>
      <w:pPr>
        <w:pStyle w:val="PreformattedText"/>
        <w:numPr>
          <w:ilvl w:val="0"/>
          <w:numId w:val="0"/>
        </w:numPr>
        <w:pBdr/>
        <w:spacing w:lineRule="auto" w:line="274" w:before="0" w:after="0"/>
        <w:ind w:hanging="0" w:left="0" w:right="0"/>
        <w:rPr/>
      </w:pPr>
      <w:r>
        <w:rPr>
          <w:rStyle w:val="SourceText"/>
          <w:rFonts w:ascii="Timesnewroman" w:hAnsi="Timesnewroman"/>
          <w:sz w:val="28"/>
          <w:szCs w:val="28"/>
        </w:rPr>
        <w:t>nmap -A -sV -p- 192.168.56.101 -oN nmap_scan.txt</w:t>
      </w:r>
    </w:p>
    <w:p>
      <w:pPr>
        <w:pStyle w:val="PreformattedText"/>
        <w:spacing w:lineRule="auto" w:line="274" w:before="0" w:after="0"/>
        <w:ind w:hanging="0" w:left="0" w:right="0"/>
        <w:rPr>
          <w:rFonts w:ascii="Timesnewroman" w:hAnsi="Timesnewroman"/>
          <w:sz w:val="28"/>
          <w:szCs w:val="28"/>
        </w:rPr>
      </w:pPr>
      <w:r>
        <w:rPr>
          <w:rFonts w:ascii="Timesnewroman" w:hAnsi="Timesnewroman"/>
          <w:sz w:val="28"/>
          <w:szCs w:val="28"/>
        </w:rPr>
        <w:drawing>
          <wp:anchor distT="0" distB="0" distL="0" distR="0" simplePos="0" relativeHeight="3" behindDoc="0" locked="0" layoutInCell="0" allowOverlap="1">
            <wp:simplePos x="0" y="0"/>
            <wp:positionH relativeFrom="column">
              <wp:posOffset>150495</wp:posOffset>
            </wp:positionH>
            <wp:positionV relativeFrom="paragraph">
              <wp:posOffset>133350</wp:posOffset>
            </wp:positionV>
            <wp:extent cx="5829935" cy="254063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4"/>
                    <a:stretch>
                      <a:fillRect/>
                    </a:stretch>
                  </pic:blipFill>
                  <pic:spPr bwMode="auto">
                    <a:xfrm>
                      <a:off x="0" y="0"/>
                      <a:ext cx="5829935" cy="2540635"/>
                    </a:xfrm>
                    <a:prstGeom prst="rect">
                      <a:avLst/>
                    </a:prstGeom>
                    <a:noFill/>
                  </pic:spPr>
                </pic:pic>
              </a:graphicData>
            </a:graphic>
          </wp:anchor>
        </w:drawing>
      </w:r>
    </w:p>
    <w:p>
      <w:pPr>
        <w:pStyle w:val="Heading3"/>
        <w:rPr/>
      </w:pPr>
      <w:r>
        <w:rPr>
          <w:rStyle w:val="SourceText"/>
          <w:rFonts w:ascii="Timesnewroman" w:hAnsi="Timesnewroman"/>
        </w:rPr>
        <w:t>3.4 Web Application Security Assessment — Nikto</w:t>
      </w:r>
    </w:p>
    <w:p>
      <w:pPr>
        <w:pStyle w:val="Heading3"/>
        <w:rPr/>
      </w:pPr>
      <w:r>
        <w:rPr>
          <w:rStyle w:val="SourceText"/>
          <w:rFonts w:ascii="Timesnewroman" w:hAnsi="Timesnewroman"/>
        </w:rPr>
        <w:t>Command executed:</w:t>
      </w:r>
    </w:p>
    <w:p>
      <w:pPr>
        <w:pStyle w:val="Heading3"/>
        <w:rPr/>
      </w:pPr>
      <w:r>
        <w:rPr>
          <w:rStyle w:val="SourceText"/>
          <w:rFonts w:ascii="Timesnewroman" w:hAnsi="Timesnewroman"/>
        </w:rPr>
        <w:t>cat nikto_report.txt</w:t>
      </w:r>
    </w:p>
    <w:p>
      <w:pPr>
        <w:pStyle w:val="BodyText"/>
        <w:rPr>
          <w:rStyle w:val="SourceText"/>
          <w:rFonts w:ascii="Timesnewroman" w:hAnsi="Timesnewroman"/>
        </w:rPr>
      </w:pPr>
      <w:r>
        <w:rPr/>
      </w:r>
    </w:p>
    <w:p>
      <w:pPr>
        <w:pStyle w:val="BodyText"/>
        <w:rPr>
          <w:rStyle w:val="SourceText"/>
          <w:rFonts w:ascii="Timesnewroman" w:hAnsi="Timesnewroman"/>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334645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5"/>
                    <a:stretch>
                      <a:fillRect/>
                    </a:stretch>
                  </pic:blipFill>
                  <pic:spPr bwMode="auto">
                    <a:xfrm>
                      <a:off x="0" y="0"/>
                      <a:ext cx="6120130" cy="3346450"/>
                    </a:xfrm>
                    <a:prstGeom prst="rect">
                      <a:avLst/>
                    </a:prstGeom>
                    <a:noFill/>
                  </pic:spPr>
                </pic:pic>
              </a:graphicData>
            </a:graphic>
          </wp:anchor>
        </w:drawing>
      </w:r>
    </w:p>
    <w:p>
      <w:pPr>
        <w:pStyle w:val="Heading4"/>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2"/>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4. Detailed Technical Findings</w:t>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Finding F-01 — FTP Backdoor (vsftpd 2.3.4)</w:t>
      </w:r>
    </w:p>
    <w:tbl>
      <w:tblPr>
        <w:tblW w:w="9645" w:type="dxa"/>
        <w:jc w:val="left"/>
        <w:tblInd w:w="180" w:type="dxa"/>
        <w:tblLayout w:type="fixed"/>
        <w:tblCellMar>
          <w:top w:w="120" w:type="dxa"/>
          <w:left w:w="180" w:type="dxa"/>
          <w:bottom w:w="120" w:type="dxa"/>
          <w:right w:w="180" w:type="dxa"/>
        </w:tblCellMar>
      </w:tblPr>
      <w:tblGrid>
        <w:gridCol w:w="2715"/>
        <w:gridCol w:w="6930"/>
      </w:tblGrid>
      <w:tr>
        <w:trPr>
          <w:tblHeader w:val="true"/>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Field</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Details</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Severity</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CRITICAL</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Port / Service</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21/tcp — FTP (</w:t>
            </w:r>
            <w:r>
              <w:rPr>
                <w:rStyle w:val="SourceText"/>
                <w:rFonts w:ascii="Timesnewroman" w:hAnsi="Timesnewroman"/>
                <w:sz w:val="28"/>
                <w:szCs w:val="28"/>
              </w:rPr>
              <w:t>vsftpd 2.3.4</w:t>
            </w:r>
            <w:r>
              <w:rPr>
                <w:rFonts w:ascii="Timesnewroman" w:hAnsi="Timesnewroman"/>
                <w:sz w:val="28"/>
                <w:szCs w:val="28"/>
              </w:rPr>
              <w:t>)</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CVE Identifier</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CVE-2011-2523</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Description</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 xml:space="preserve">The deployed version of </w:t>
            </w:r>
            <w:r>
              <w:rPr>
                <w:rStyle w:val="SourceText"/>
                <w:rFonts w:ascii="Timesnewroman" w:hAnsi="Timesnewroman"/>
                <w:sz w:val="28"/>
                <w:szCs w:val="28"/>
              </w:rPr>
              <w:t>vsftpd</w:t>
            </w:r>
            <w:r>
              <w:rPr>
                <w:rFonts w:ascii="Timesnewroman" w:hAnsi="Timesnewroman"/>
                <w:sz w:val="28"/>
                <w:szCs w:val="28"/>
              </w:rPr>
              <w:t xml:space="preserve"> contains an unauthenticated backdoor embedded inside the software code package. When a logon request contains a username with the signature smiley face string </w:t>
            </w:r>
            <w:r>
              <w:rPr>
                <w:rStyle w:val="SourceText"/>
                <w:rFonts w:ascii="Timesnewroman" w:hAnsi="Timesnewroman"/>
                <w:sz w:val="28"/>
                <w:szCs w:val="28"/>
              </w:rPr>
              <w:t>:)</w:t>
            </w:r>
            <w:r>
              <w:rPr>
                <w:rFonts w:ascii="Timesnewroman" w:hAnsi="Timesnewroman"/>
                <w:sz w:val="28"/>
                <w:szCs w:val="28"/>
              </w:rPr>
              <w:t xml:space="preserve">, the daemon activates a listener root terminal binding directly across TCP port </w:t>
            </w:r>
            <w:r>
              <w:rPr>
                <w:rStyle w:val="SourceText"/>
                <w:rFonts w:ascii="Timesnewroman" w:hAnsi="Timesnewroman"/>
                <w:sz w:val="28"/>
                <w:szCs w:val="28"/>
              </w:rPr>
              <w:t>6200</w:t>
            </w:r>
            <w:r>
              <w:rPr>
                <w:rFonts w:ascii="Timesnewroman" w:hAnsi="Timesnewroman"/>
                <w:sz w:val="28"/>
                <w:szCs w:val="28"/>
              </w:rPr>
              <w:t>.</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Risk / Impact</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Any unauthenticated remote network actor can interact with port 6200 to achieve instant root shell execution capabilities, yielding complete target administrative compromise.</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Remediation Steps</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Liberation Mono" w:hAnsi="Liberation Mono" w:eastAsia="Noto Sans Mono CJK SC" w:cs="Liberation Mono"/>
                <w:sz w:val="20"/>
                <w:szCs w:val="20"/>
              </w:rPr>
            </w:pPr>
            <w:r>
              <w:rPr>
                <w:rFonts w:eastAsia="Noto Sans Mono CJK SC" w:cs="Liberation Mono" w:ascii="Timesnewroman" w:hAnsi="Timesnewroman"/>
                <w:sz w:val="28"/>
                <w:szCs w:val="28"/>
              </w:rPr>
              <w:t>1. Update the local package listings and upgrade vsftpd components to stable versions (</w:t>
            </w:r>
            <w:r>
              <w:rPr>
                <w:rStyle w:val="SourceText"/>
                <w:rFonts w:ascii="Timesnewroman" w:hAnsi="Timesnewroman"/>
                <w:sz w:val="28"/>
                <w:szCs w:val="28"/>
              </w:rPr>
              <w:t>&gt; 3.0.x</w:t>
            </w:r>
            <w:r>
              <w:rPr>
                <w:rFonts w:eastAsia="Noto Sans Mono CJK SC" w:cs="Liberation Mono" w:ascii="Timesnewroman" w:hAnsi="Timesnewroman"/>
                <w:sz w:val="28"/>
                <w:szCs w:val="28"/>
              </w:rPr>
              <w:t>).</w:t>
            </w:r>
          </w:p>
          <w:p>
            <w:pPr>
              <w:pStyle w:val="TableContents"/>
              <w:spacing w:lineRule="auto" w:line="274" w:before="0" w:after="14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TableContents"/>
              <w:spacing w:lineRule="auto" w:line="274" w:before="0" w:after="0"/>
              <w:ind w:hanging="0" w:left="0" w:right="0"/>
              <w:rPr>
                <w:rFonts w:eastAsia="Google Sans Text;sans-serif" w:cs="Google Sans Text;sans-serif"/>
              </w:rPr>
            </w:pPr>
            <w:r>
              <w:rPr>
                <w:rFonts w:eastAsia="Noto Sans Mono CJK SC" w:cs="Liberation Mono" w:ascii="Timesnewroman" w:hAnsi="Timesnewroman"/>
                <w:sz w:val="28"/>
                <w:szCs w:val="28"/>
              </w:rPr>
              <w:t>2. If administrative workflows do not rely on local FTP operations, close down the service container entirely.</w:t>
            </w:r>
          </w:p>
        </w:tc>
      </w:tr>
    </w:tbl>
    <w:p>
      <w:pPr>
        <w:pStyle w:val="Heading3"/>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Finding F-02 — Telnet Service Enabled (Plaintext Protocol)</w:t>
      </w:r>
    </w:p>
    <w:tbl>
      <w:tblPr>
        <w:tblW w:w="9645" w:type="dxa"/>
        <w:jc w:val="left"/>
        <w:tblInd w:w="180" w:type="dxa"/>
        <w:tblLayout w:type="fixed"/>
        <w:tblCellMar>
          <w:top w:w="120" w:type="dxa"/>
          <w:left w:w="180" w:type="dxa"/>
          <w:bottom w:w="120" w:type="dxa"/>
          <w:right w:w="180" w:type="dxa"/>
        </w:tblCellMar>
      </w:tblPr>
      <w:tblGrid>
        <w:gridCol w:w="2385"/>
        <w:gridCol w:w="7260"/>
      </w:tblGrid>
      <w:tr>
        <w:trPr>
          <w:tblHeader w:val="true"/>
        </w:trPr>
        <w:tc>
          <w:tcPr>
            <w:tcW w:w="23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Field</w:t>
            </w:r>
          </w:p>
        </w:tc>
        <w:tc>
          <w:tcPr>
            <w:tcW w:w="72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Details</w:t>
            </w:r>
          </w:p>
        </w:tc>
      </w:tr>
      <w:tr>
        <w:trPr/>
        <w:tc>
          <w:tcPr>
            <w:tcW w:w="23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Severity</w:t>
            </w:r>
          </w:p>
        </w:tc>
        <w:tc>
          <w:tcPr>
            <w:tcW w:w="72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r>
      <w:tr>
        <w:trPr/>
        <w:tc>
          <w:tcPr>
            <w:tcW w:w="23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Port / Service</w:t>
            </w:r>
          </w:p>
        </w:tc>
        <w:tc>
          <w:tcPr>
            <w:tcW w:w="72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 xml:space="preserve">23/tcp — Telnet (Linux </w:t>
            </w:r>
            <w:r>
              <w:rPr>
                <w:rStyle w:val="SourceText"/>
                <w:rFonts w:ascii="Timesnewroman" w:hAnsi="Timesnewroman"/>
                <w:sz w:val="28"/>
                <w:szCs w:val="28"/>
              </w:rPr>
              <w:t>telnetd</w:t>
            </w:r>
            <w:r>
              <w:rPr>
                <w:rFonts w:ascii="Timesnewroman" w:hAnsi="Timesnewroman"/>
                <w:sz w:val="28"/>
                <w:szCs w:val="28"/>
              </w:rPr>
              <w:t>)</w:t>
            </w:r>
          </w:p>
        </w:tc>
      </w:tr>
      <w:tr>
        <w:trPr/>
        <w:tc>
          <w:tcPr>
            <w:tcW w:w="23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CVE Identifier</w:t>
            </w:r>
          </w:p>
        </w:tc>
        <w:tc>
          <w:tcPr>
            <w:tcW w:w="72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N/A — Inherent Protocol Design Vulnerability</w:t>
            </w:r>
          </w:p>
        </w:tc>
      </w:tr>
      <w:tr>
        <w:trPr/>
        <w:tc>
          <w:tcPr>
            <w:tcW w:w="23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Description</w:t>
            </w:r>
          </w:p>
        </w:tc>
        <w:tc>
          <w:tcPr>
            <w:tcW w:w="72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The server utilizes a legacy Telnet management setup on port 23. The underlying transmission mechanics transport authentication sessions, terminal commands, and passwords over the local area network wire without cryptographic encapsulation.</w:t>
            </w:r>
          </w:p>
        </w:tc>
      </w:tr>
      <w:tr>
        <w:trPr/>
        <w:tc>
          <w:tcPr>
            <w:tcW w:w="23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Risk / Impact</w:t>
            </w:r>
          </w:p>
        </w:tc>
        <w:tc>
          <w:tcPr>
            <w:tcW w:w="72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Internal network tracking actors running active sniffers (such as Wireshark or tcpdump) can record raw communication frames, extract valid cleartext user profiles, and breach the target system.</w:t>
            </w:r>
          </w:p>
        </w:tc>
      </w:tr>
      <w:tr>
        <w:trPr/>
        <w:tc>
          <w:tcPr>
            <w:tcW w:w="23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Remediation Steps</w:t>
            </w:r>
          </w:p>
        </w:tc>
        <w:tc>
          <w:tcPr>
            <w:tcW w:w="72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1. Instantly stop the operational lifecycle of the legacy telnet service component.</w:t>
            </w:r>
          </w:p>
          <w:p>
            <w:pPr>
              <w:pStyle w:val="TableContents"/>
              <w:spacing w:lineRule="auto" w:line="274" w:before="0" w:after="14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TableContents"/>
              <w:spacing w:lineRule="auto" w:line="274" w:before="0" w:after="0"/>
              <w:ind w:hanging="0" w:left="0" w:right="0"/>
              <w:rPr>
                <w:rFonts w:eastAsia="Google Sans Text;sans-serif" w:cs="Google Sans Text;sans-serif"/>
              </w:rPr>
            </w:pPr>
            <w:r>
              <w:rPr>
                <w:rFonts w:eastAsia="Noto Sans Mono CJK SC" w:cs="Liberation Mono" w:ascii="Timesnewroman" w:hAnsi="Timesnewroman"/>
                <w:sz w:val="28"/>
                <w:szCs w:val="28"/>
              </w:rPr>
              <w:t>2. Enforce the exclusive integration of SSH (Port 22) for all console management routes.</w:t>
            </w:r>
          </w:p>
        </w:tc>
      </w:tr>
    </w:tbl>
    <w:p>
      <w:pPr>
        <w:pStyle w:val="Heading3"/>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Finding F-03 — Samba Remote Code Execution (CVE-2007-2447)</w:t>
      </w:r>
    </w:p>
    <w:tbl>
      <w:tblPr>
        <w:tblW w:w="9645" w:type="dxa"/>
        <w:jc w:val="left"/>
        <w:tblInd w:w="180" w:type="dxa"/>
        <w:tblLayout w:type="fixed"/>
        <w:tblCellMar>
          <w:top w:w="120" w:type="dxa"/>
          <w:left w:w="180" w:type="dxa"/>
          <w:bottom w:w="120" w:type="dxa"/>
          <w:right w:w="180" w:type="dxa"/>
        </w:tblCellMar>
      </w:tblPr>
      <w:tblGrid>
        <w:gridCol w:w="2670"/>
        <w:gridCol w:w="6975"/>
      </w:tblGrid>
      <w:tr>
        <w:trPr>
          <w:tblHeader w:val="true"/>
        </w:trPr>
        <w:tc>
          <w:tcPr>
            <w:tcW w:w="26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Field</w:t>
            </w:r>
          </w:p>
        </w:tc>
        <w:tc>
          <w:tcPr>
            <w:tcW w:w="69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Details</w:t>
            </w:r>
          </w:p>
        </w:tc>
      </w:tr>
      <w:tr>
        <w:trPr/>
        <w:tc>
          <w:tcPr>
            <w:tcW w:w="26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Severity</w:t>
            </w:r>
          </w:p>
        </w:tc>
        <w:tc>
          <w:tcPr>
            <w:tcW w:w="69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r>
      <w:tr>
        <w:trPr/>
        <w:tc>
          <w:tcPr>
            <w:tcW w:w="26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Port / Service</w:t>
            </w:r>
          </w:p>
        </w:tc>
        <w:tc>
          <w:tcPr>
            <w:tcW w:w="69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 xml:space="preserve">139/tcp, 445/tcp — Samba </w:t>
            </w:r>
            <w:r>
              <w:rPr>
                <w:rStyle w:val="SourceText"/>
                <w:rFonts w:ascii="Timesnewroman" w:hAnsi="Timesnewroman"/>
                <w:sz w:val="28"/>
                <w:szCs w:val="28"/>
              </w:rPr>
              <w:t>smbd 3.0.20</w:t>
            </w:r>
          </w:p>
        </w:tc>
      </w:tr>
      <w:tr>
        <w:trPr/>
        <w:tc>
          <w:tcPr>
            <w:tcW w:w="26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CVE Identifier</w:t>
            </w:r>
          </w:p>
        </w:tc>
        <w:tc>
          <w:tcPr>
            <w:tcW w:w="69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CVE-2007-2447</w:t>
            </w:r>
          </w:p>
        </w:tc>
      </w:tr>
      <w:tr>
        <w:trPr/>
        <w:tc>
          <w:tcPr>
            <w:tcW w:w="26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Description</w:t>
            </w:r>
          </w:p>
        </w:tc>
        <w:tc>
          <w:tcPr>
            <w:tcW w:w="69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The file-sharing structure on the machine runs an outdated Samba iteration (</w:t>
            </w:r>
            <w:r>
              <w:rPr>
                <w:rStyle w:val="SourceText"/>
                <w:rFonts w:ascii="Timesnewroman" w:hAnsi="Timesnewroman"/>
                <w:sz w:val="28"/>
                <w:szCs w:val="28"/>
              </w:rPr>
              <w:t>3.0.20</w:t>
            </w:r>
            <w:r>
              <w:rPr>
                <w:rFonts w:ascii="Timesnewroman" w:hAnsi="Timesnewroman"/>
                <w:sz w:val="28"/>
                <w:szCs w:val="28"/>
              </w:rPr>
              <w:t xml:space="preserve">) that contains a remote command execution bug within the </w:t>
            </w:r>
            <w:r>
              <w:rPr>
                <w:rStyle w:val="SourceText"/>
                <w:rFonts w:ascii="Timesnewroman" w:hAnsi="Timesnewroman"/>
                <w:sz w:val="28"/>
                <w:szCs w:val="28"/>
              </w:rPr>
              <w:t>MS-RPC SamrChangePassword</w:t>
            </w:r>
            <w:r>
              <w:rPr>
                <w:rFonts w:ascii="Timesnewroman" w:hAnsi="Timesnewroman"/>
                <w:sz w:val="28"/>
                <w:szCs w:val="28"/>
              </w:rPr>
              <w:t xml:space="preserve"> system module. Passing an input variable payload populated with active shell escape characters forces the server engine to evaluate and execute the payload.</w:t>
            </w:r>
          </w:p>
        </w:tc>
      </w:tr>
      <w:tr>
        <w:trPr/>
        <w:tc>
          <w:tcPr>
            <w:tcW w:w="26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Risk / Impact</w:t>
            </w:r>
          </w:p>
        </w:tc>
        <w:tc>
          <w:tcPr>
            <w:tcW w:w="69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 xml:space="preserve">Yields unauthenticated shell invocation commands over the network. This vulnerability can be targeted with public exploit definitions like Metasploit's </w:t>
            </w:r>
            <w:r>
              <w:rPr>
                <w:rStyle w:val="SourceText"/>
                <w:rFonts w:ascii="Timesnewroman" w:hAnsi="Timesnewroman"/>
                <w:sz w:val="28"/>
                <w:szCs w:val="28"/>
              </w:rPr>
              <w:t>usermap_script</w:t>
            </w:r>
            <w:r>
              <w:rPr>
                <w:rFonts w:ascii="Timesnewroman" w:hAnsi="Timesnewroman"/>
                <w:sz w:val="28"/>
                <w:szCs w:val="28"/>
              </w:rPr>
              <w:t xml:space="preserve"> module.</w:t>
            </w:r>
          </w:p>
        </w:tc>
      </w:tr>
      <w:tr>
        <w:trPr>
          <w:trHeight w:val="2821" w:hRule="atLeast"/>
        </w:trPr>
        <w:tc>
          <w:tcPr>
            <w:tcW w:w="26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Remediation Steps</w:t>
            </w:r>
          </w:p>
        </w:tc>
        <w:tc>
          <w:tcPr>
            <w:tcW w:w="69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1. Force structural upgrade cycles to replace vulnerable legacy Samba builds with patched software variants.</w:t>
            </w:r>
          </w:p>
          <w:p>
            <w:pPr>
              <w:pStyle w:val="TableContents"/>
              <w:spacing w:lineRule="auto" w:line="274" w:before="0" w:after="14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TableContents"/>
              <w:spacing w:lineRule="auto" w:line="274" w:before="0" w:after="0"/>
              <w:ind w:hanging="0" w:left="0" w:right="0"/>
              <w:rPr>
                <w:rFonts w:eastAsia="Google Sans Text;sans-serif" w:cs="Google Sans Text;sans-serif"/>
              </w:rPr>
            </w:pPr>
            <w:r>
              <w:rPr>
                <w:rFonts w:eastAsia="Noto Sans Mono CJK SC" w:cs="Liberation Mono" w:ascii="Timesnewroman" w:hAnsi="Timesnewroman"/>
                <w:sz w:val="28"/>
                <w:szCs w:val="28"/>
              </w:rPr>
              <w:t>2. Filter external connection vectors on active ports 139 and 445 via access lists.</w:t>
            </w:r>
          </w:p>
        </w:tc>
      </w:tr>
    </w:tbl>
    <w:p>
      <w:pPr>
        <w:pStyle w:val="Heading3"/>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Finding F-04 — MySQL — No Root Password</w:t>
      </w:r>
    </w:p>
    <w:tbl>
      <w:tblPr>
        <w:tblW w:w="9645" w:type="dxa"/>
        <w:jc w:val="left"/>
        <w:tblInd w:w="180" w:type="dxa"/>
        <w:tblLayout w:type="fixed"/>
        <w:tblCellMar>
          <w:top w:w="120" w:type="dxa"/>
          <w:left w:w="180" w:type="dxa"/>
          <w:bottom w:w="120" w:type="dxa"/>
          <w:right w:w="180" w:type="dxa"/>
        </w:tblCellMar>
      </w:tblPr>
      <w:tblGrid>
        <w:gridCol w:w="2550"/>
        <w:gridCol w:w="7095"/>
      </w:tblGrid>
      <w:tr>
        <w:trPr>
          <w:tblHeader w:val="true"/>
        </w:trPr>
        <w:tc>
          <w:tcPr>
            <w:tcW w:w="255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Field</w:t>
            </w:r>
          </w:p>
        </w:tc>
        <w:tc>
          <w:tcPr>
            <w:tcW w:w="70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Details</w:t>
            </w:r>
          </w:p>
        </w:tc>
      </w:tr>
      <w:tr>
        <w:trPr/>
        <w:tc>
          <w:tcPr>
            <w:tcW w:w="255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Severity</w:t>
            </w:r>
          </w:p>
        </w:tc>
        <w:tc>
          <w:tcPr>
            <w:tcW w:w="70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r>
      <w:tr>
        <w:trPr/>
        <w:tc>
          <w:tcPr>
            <w:tcW w:w="255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Port / Service</w:t>
            </w:r>
          </w:p>
        </w:tc>
        <w:tc>
          <w:tcPr>
            <w:tcW w:w="70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 xml:space="preserve">3306/tcp — MySQL </w:t>
            </w:r>
            <w:r>
              <w:rPr>
                <w:rStyle w:val="SourceText"/>
                <w:rFonts w:ascii="Timesnewroman" w:hAnsi="Timesnewroman"/>
                <w:sz w:val="28"/>
                <w:szCs w:val="28"/>
              </w:rPr>
              <w:t>5.0.51a</w:t>
            </w:r>
          </w:p>
        </w:tc>
      </w:tr>
      <w:tr>
        <w:trPr/>
        <w:tc>
          <w:tcPr>
            <w:tcW w:w="255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CVE Identifier</w:t>
            </w:r>
          </w:p>
        </w:tc>
        <w:tc>
          <w:tcPr>
            <w:tcW w:w="70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CWE-521</w:t>
            </w:r>
          </w:p>
        </w:tc>
      </w:tr>
      <w:tr>
        <w:trPr/>
        <w:tc>
          <w:tcPr>
            <w:tcW w:w="255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Description</w:t>
            </w:r>
          </w:p>
        </w:tc>
        <w:tc>
          <w:tcPr>
            <w:tcW w:w="70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The database system is configured to listen globally across network interfaces, and does not restrict the root account profile with an authentication secret password string.</w:t>
            </w:r>
          </w:p>
        </w:tc>
      </w:tr>
      <w:tr>
        <w:trPr/>
        <w:tc>
          <w:tcPr>
            <w:tcW w:w="255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Risk / Impact</w:t>
            </w:r>
          </w:p>
        </w:tc>
        <w:tc>
          <w:tcPr>
            <w:tcW w:w="70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Grants complete unauthenticated control over all structural data storage elements. Attackers can view, extract, drop, or alter database entries, or write arbitrary files onto the server filesystem (</w:t>
            </w:r>
            <w:r>
              <w:rPr>
                <w:rStyle w:val="SourceText"/>
                <w:rFonts w:ascii="Timesnewroman" w:hAnsi="Timesnewroman"/>
                <w:sz w:val="28"/>
                <w:szCs w:val="28"/>
              </w:rPr>
              <w:t>INTO OUTFILE</w:t>
            </w:r>
            <w:r>
              <w:rPr>
                <w:rFonts w:ascii="Timesnewroman" w:hAnsi="Timesnewroman"/>
                <w:sz w:val="28"/>
                <w:szCs w:val="28"/>
              </w:rPr>
              <w:t>).</w:t>
            </w:r>
          </w:p>
        </w:tc>
      </w:tr>
      <w:tr>
        <w:trPr/>
        <w:tc>
          <w:tcPr>
            <w:tcW w:w="255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Remediation Steps</w:t>
            </w:r>
          </w:p>
        </w:tc>
        <w:tc>
          <w:tcPr>
            <w:tcW w:w="70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1. Apply proper password assignments on the database instance root profile.</w:t>
            </w:r>
          </w:p>
          <w:p>
            <w:pPr>
              <w:pStyle w:val="TableContents"/>
              <w:spacing w:lineRule="auto" w:line="274" w:before="0" w:after="14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TableContents"/>
              <w:spacing w:lineRule="auto" w:line="274" w:before="0" w:after="140"/>
              <w:ind w:hanging="0" w:left="0" w:right="0"/>
              <w:rPr>
                <w:rFonts w:eastAsia="Google Sans Text;sans-serif" w:cs="Google Sans Text;sans-serif"/>
              </w:rPr>
            </w:pPr>
            <w:r>
              <w:rPr>
                <w:rFonts w:eastAsia="Noto Sans Mono CJK SC" w:cs="Liberation Mono" w:ascii="Timesnewroman" w:hAnsi="Timesnewroman"/>
                <w:sz w:val="28"/>
                <w:szCs w:val="28"/>
              </w:rPr>
              <w:t>2. Edit the application daemon configuration layout (</w:t>
            </w:r>
            <w:r>
              <w:rPr>
                <w:rStyle w:val="SourceText"/>
                <w:rFonts w:ascii="Timesnewroman" w:hAnsi="Timesnewroman"/>
                <w:sz w:val="28"/>
                <w:szCs w:val="28"/>
              </w:rPr>
              <w:t>my.cnf</w:t>
            </w:r>
            <w:r>
              <w:rPr>
                <w:rFonts w:eastAsia="Noto Sans Mono CJK SC" w:cs="Liberation Mono" w:ascii="Timesnewroman" w:hAnsi="Timesnewroman"/>
                <w:sz w:val="28"/>
                <w:szCs w:val="28"/>
              </w:rPr>
              <w:t>) to enforce local interface isolation (</w:t>
            </w:r>
            <w:r>
              <w:rPr>
                <w:rStyle w:val="SourceText"/>
                <w:rFonts w:ascii="Timesnewroman" w:hAnsi="Timesnewroman"/>
                <w:sz w:val="28"/>
                <w:szCs w:val="28"/>
              </w:rPr>
              <w:t>bind-address = 127.0.0.1</w:t>
            </w:r>
            <w:r>
              <w:rPr>
                <w:rFonts w:eastAsia="Noto Sans Mono CJK SC" w:cs="Liberation Mono" w:ascii="Timesnewroman" w:hAnsi="Timesnewroman"/>
                <w:sz w:val="28"/>
                <w:szCs w:val="28"/>
              </w:rPr>
              <w:t>).</w:t>
            </w:r>
          </w:p>
        </w:tc>
      </w:tr>
    </w:tbl>
    <w:p>
      <w:pPr>
        <w:pStyle w:val="Heading3"/>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Finding F-05 — Apache phpinfo.php Information Disclosure</w:t>
      </w:r>
    </w:p>
    <w:tbl>
      <w:tblPr>
        <w:tblW w:w="9645" w:type="dxa"/>
        <w:jc w:val="left"/>
        <w:tblInd w:w="180" w:type="dxa"/>
        <w:tblLayout w:type="fixed"/>
        <w:tblCellMar>
          <w:top w:w="120" w:type="dxa"/>
          <w:left w:w="180" w:type="dxa"/>
          <w:bottom w:w="120" w:type="dxa"/>
          <w:right w:w="180" w:type="dxa"/>
        </w:tblCellMar>
      </w:tblPr>
      <w:tblGrid>
        <w:gridCol w:w="2715"/>
        <w:gridCol w:w="6930"/>
      </w:tblGrid>
      <w:tr>
        <w:trPr>
          <w:tblHeader w:val="true"/>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Field</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Details</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Severity</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MEDIUM</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Port / Service</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 xml:space="preserve">80/tcp — Apache httpd </w:t>
            </w:r>
            <w:r>
              <w:rPr>
                <w:rStyle w:val="SourceText"/>
                <w:rFonts w:ascii="Timesnewroman" w:hAnsi="Timesnewroman"/>
                <w:sz w:val="28"/>
                <w:szCs w:val="28"/>
              </w:rPr>
              <w:t>2.2.8</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CVE Identifier</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CWE-200</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Description</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An exposed diagnostic script component (</w:t>
            </w:r>
            <w:r>
              <w:rPr>
                <w:rStyle w:val="SourceText"/>
                <w:rFonts w:ascii="Timesnewroman" w:hAnsi="Timesnewroman"/>
                <w:sz w:val="28"/>
                <w:szCs w:val="28"/>
              </w:rPr>
              <w:t>/phpinfo.php</w:t>
            </w:r>
            <w:r>
              <w:rPr>
                <w:rFonts w:ascii="Timesnewroman" w:hAnsi="Timesnewroman"/>
                <w:sz w:val="28"/>
                <w:szCs w:val="28"/>
              </w:rPr>
              <w:t>) was identified on the web server web root directory by the Nikto scanner engine.</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Risk / Impact</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Exposes operational metadata including absolute workspace pathing arrays, current server module releases, configuration flags, environmental system configurations, and extension maps to unauthenticated web browsers.</w:t>
            </w:r>
          </w:p>
        </w:tc>
      </w:tr>
      <w:tr>
        <w:trPr/>
        <w:tc>
          <w:tcPr>
            <w:tcW w:w="271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Remediation Steps</w:t>
            </w:r>
          </w:p>
        </w:tc>
        <w:tc>
          <w:tcPr>
            <w:tcW w:w="693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Liberation Mono" w:hAnsi="Liberation Mono" w:eastAsia="Noto Sans Mono CJK SC" w:cs="Liberation Mono"/>
                <w:sz w:val="20"/>
                <w:szCs w:val="20"/>
              </w:rPr>
            </w:pPr>
            <w:r>
              <w:rPr>
                <w:rFonts w:eastAsia="Noto Sans Mono CJK SC" w:cs="Liberation Mono" w:ascii="Timesnewroman" w:hAnsi="Timesnewroman"/>
                <w:sz w:val="28"/>
                <w:szCs w:val="28"/>
              </w:rPr>
              <w:t>1. Permanently remove diagnostic components from the server document workspace (</w:t>
            </w:r>
            <w:r>
              <w:rPr>
                <w:rStyle w:val="SourceText"/>
                <w:rFonts w:ascii="Timesnewroman" w:hAnsi="Timesnewroman"/>
                <w:sz w:val="28"/>
                <w:szCs w:val="28"/>
              </w:rPr>
              <w:t>rm /var/www/phpinfo.php</w:t>
            </w:r>
            <w:r>
              <w:rPr>
                <w:rFonts w:eastAsia="Noto Sans Mono CJK SC" w:cs="Liberation Mono" w:ascii="Timesnewroman" w:hAnsi="Timesnewroman"/>
                <w:sz w:val="28"/>
                <w:szCs w:val="28"/>
              </w:rPr>
              <w:t>).</w:t>
            </w:r>
          </w:p>
          <w:p>
            <w:pPr>
              <w:pStyle w:val="TableContents"/>
              <w:spacing w:lineRule="auto" w:line="274" w:before="0" w:after="14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TableContents"/>
              <w:spacing w:lineRule="auto" w:line="274" w:before="0" w:after="140"/>
              <w:ind w:hanging="0" w:left="0" w:right="0"/>
              <w:rPr>
                <w:rFonts w:eastAsia="Google Sans Text;sans-serif" w:cs="Google Sans Text;sans-serif"/>
              </w:rPr>
            </w:pPr>
            <w:r>
              <w:rPr>
                <w:rFonts w:eastAsia="Noto Sans Mono CJK SC" w:cs="Liberation Mono" w:ascii="Timesnewroman" w:hAnsi="Timesnewroman"/>
                <w:sz w:val="28"/>
                <w:szCs w:val="28"/>
              </w:rPr>
              <w:t>2. Adjust the Apache master directory indexing policies to avoid open directory browsing (</w:t>
            </w:r>
            <w:r>
              <w:rPr>
                <w:rStyle w:val="SourceText"/>
                <w:rFonts w:ascii="Timesnewroman" w:hAnsi="Timesnewroman"/>
                <w:sz w:val="28"/>
                <w:szCs w:val="28"/>
              </w:rPr>
              <w:t>Options -Indexes</w:t>
            </w:r>
            <w:r>
              <w:rPr>
                <w:rFonts w:eastAsia="Noto Sans Mono CJK SC" w:cs="Liberation Mono" w:ascii="Timesnewroman" w:hAnsi="Timesnewroman"/>
                <w:sz w:val="28"/>
                <w:szCs w:val="28"/>
              </w:rPr>
              <w:t>).</w:t>
            </w:r>
          </w:p>
        </w:tc>
      </w:tr>
    </w:tbl>
    <w:p>
      <w:pPr>
        <w:pStyle w:val="Heading3"/>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3"/>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Finding F-06 — UnrealIRCd Backdoor (CVE-2010-2075)</w:t>
      </w:r>
    </w:p>
    <w:tbl>
      <w:tblPr>
        <w:tblW w:w="9645" w:type="dxa"/>
        <w:jc w:val="left"/>
        <w:tblInd w:w="180" w:type="dxa"/>
        <w:tblLayout w:type="fixed"/>
        <w:tblCellMar>
          <w:top w:w="120" w:type="dxa"/>
          <w:left w:w="180" w:type="dxa"/>
          <w:bottom w:w="120" w:type="dxa"/>
          <w:right w:w="180" w:type="dxa"/>
        </w:tblCellMar>
      </w:tblPr>
      <w:tblGrid>
        <w:gridCol w:w="2160"/>
        <w:gridCol w:w="7485"/>
      </w:tblGrid>
      <w:tr>
        <w:trPr>
          <w:tblHeader w:val="true"/>
        </w:trPr>
        <w:tc>
          <w:tcPr>
            <w:tcW w:w="21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Field</w:t>
            </w:r>
          </w:p>
        </w:tc>
        <w:tc>
          <w:tcPr>
            <w:tcW w:w="74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Details</w:t>
            </w:r>
          </w:p>
        </w:tc>
      </w:tr>
      <w:tr>
        <w:trPr/>
        <w:tc>
          <w:tcPr>
            <w:tcW w:w="21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Severity</w:t>
            </w:r>
          </w:p>
        </w:tc>
        <w:tc>
          <w:tcPr>
            <w:tcW w:w="74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CRITICAL</w:t>
            </w:r>
          </w:p>
        </w:tc>
      </w:tr>
      <w:tr>
        <w:trPr/>
        <w:tc>
          <w:tcPr>
            <w:tcW w:w="21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Port / Service</w:t>
            </w:r>
          </w:p>
        </w:tc>
        <w:tc>
          <w:tcPr>
            <w:tcW w:w="74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6667/tcp — IRC (</w:t>
            </w:r>
            <w:r>
              <w:rPr>
                <w:rStyle w:val="SourceText"/>
                <w:rFonts w:ascii="Timesnewroman" w:hAnsi="Timesnewroman"/>
                <w:sz w:val="28"/>
                <w:szCs w:val="28"/>
              </w:rPr>
              <w:t>UnrealIRCd</w:t>
            </w:r>
            <w:r>
              <w:rPr>
                <w:rFonts w:ascii="Timesnewroman" w:hAnsi="Timesnewroman"/>
                <w:sz w:val="28"/>
                <w:szCs w:val="28"/>
              </w:rPr>
              <w:t>)</w:t>
            </w:r>
          </w:p>
        </w:tc>
      </w:tr>
      <w:tr>
        <w:trPr/>
        <w:tc>
          <w:tcPr>
            <w:tcW w:w="21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CVE Identifier</w:t>
            </w:r>
          </w:p>
        </w:tc>
        <w:tc>
          <w:tcPr>
            <w:tcW w:w="74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CVE-2010-2075</w:t>
            </w:r>
          </w:p>
        </w:tc>
      </w:tr>
      <w:tr>
        <w:trPr/>
        <w:tc>
          <w:tcPr>
            <w:tcW w:w="21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Description</w:t>
            </w:r>
          </w:p>
        </w:tc>
        <w:tc>
          <w:tcPr>
            <w:tcW w:w="74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 xml:space="preserve">The source archive package for </w:t>
            </w:r>
            <w:r>
              <w:rPr>
                <w:rStyle w:val="SourceText"/>
                <w:rFonts w:ascii="Timesnewroman" w:hAnsi="Timesnewroman"/>
                <w:sz w:val="28"/>
                <w:szCs w:val="28"/>
              </w:rPr>
              <w:t>UnrealIRCd 3.2.8.1</w:t>
            </w:r>
            <w:r>
              <w:rPr>
                <w:rFonts w:ascii="Timesnewroman" w:hAnsi="Timesnewroman"/>
                <w:sz w:val="28"/>
                <w:szCs w:val="28"/>
              </w:rPr>
              <w:t xml:space="preserve"> was subject to an upstream supply chain modification compromise where malicious code was injected into the build. Transmitting the key parameter payload string </w:t>
            </w:r>
            <w:r>
              <w:rPr>
                <w:rStyle w:val="SourceText"/>
                <w:rFonts w:ascii="Timesnewroman" w:hAnsi="Timesnewroman"/>
                <w:sz w:val="28"/>
                <w:szCs w:val="28"/>
              </w:rPr>
              <w:t>AB;</w:t>
            </w:r>
            <w:r>
              <w:rPr>
                <w:rFonts w:ascii="Timesnewroman" w:hAnsi="Timesnewroman"/>
                <w:sz w:val="28"/>
                <w:szCs w:val="28"/>
              </w:rPr>
              <w:t xml:space="preserve"> instantly targets the backend server process, invoking system-level command interpreter hooks.</w:t>
            </w:r>
          </w:p>
        </w:tc>
      </w:tr>
      <w:tr>
        <w:trPr/>
        <w:tc>
          <w:tcPr>
            <w:tcW w:w="21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Risk / Impact</w:t>
            </w:r>
          </w:p>
        </w:tc>
        <w:tc>
          <w:tcPr>
            <w:tcW w:w="74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Allows unauthenticated remote command execution routines on the system running with the privilege level of the background application worker daemon process.</w:t>
            </w:r>
          </w:p>
        </w:tc>
      </w:tr>
      <w:tr>
        <w:trPr/>
        <w:tc>
          <w:tcPr>
            <w:tcW w:w="216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Remediation Steps</w:t>
            </w:r>
          </w:p>
        </w:tc>
        <w:tc>
          <w:tcPr>
            <w:tcW w:w="748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1. Completely purge the active UnrealIRCd compilation distribution layout folders from the machine.</w:t>
            </w:r>
          </w:p>
          <w:p>
            <w:pPr>
              <w:pStyle w:val="TableContents"/>
              <w:spacing w:lineRule="auto" w:line="274" w:before="0" w:after="14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TableContents"/>
              <w:spacing w:lineRule="auto" w:line="274" w:before="0" w:after="0"/>
              <w:ind w:hanging="0" w:left="0" w:right="0"/>
              <w:rPr>
                <w:rFonts w:eastAsia="Google Sans Text;sans-serif" w:cs="Google Sans Text;sans-serif"/>
              </w:rPr>
            </w:pPr>
            <w:r>
              <w:rPr>
                <w:rFonts w:eastAsia="Noto Sans Mono CJK SC" w:cs="Liberation Mono" w:ascii="Timesnewroman" w:hAnsi="Timesnewroman"/>
                <w:sz w:val="28"/>
                <w:szCs w:val="28"/>
              </w:rPr>
              <w:t>2. If chat relays are necessary, compile verified source distributions validated using official cryptographic checksum verification hashes.</w:t>
            </w:r>
          </w:p>
        </w:tc>
      </w:tr>
    </w:tbl>
    <w:p>
      <w:pPr>
        <w:pStyle w:val="Heading2"/>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2"/>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2"/>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2"/>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5. Risk Summary Table</w:t>
      </w:r>
    </w:p>
    <w:tbl>
      <w:tblPr>
        <w:tblW w:w="10665" w:type="dxa"/>
        <w:jc w:val="left"/>
        <w:tblInd w:w="180" w:type="dxa"/>
        <w:tblLayout w:type="fixed"/>
        <w:tblCellMar>
          <w:top w:w="120" w:type="dxa"/>
          <w:left w:w="180" w:type="dxa"/>
          <w:bottom w:w="120" w:type="dxa"/>
          <w:right w:w="180" w:type="dxa"/>
        </w:tblCellMar>
      </w:tblPr>
      <w:tblGrid>
        <w:gridCol w:w="1695"/>
        <w:gridCol w:w="2175"/>
        <w:gridCol w:w="1470"/>
        <w:gridCol w:w="1470"/>
        <w:gridCol w:w="1755"/>
        <w:gridCol w:w="2100"/>
      </w:tblGrid>
      <w:tr>
        <w:trPr>
          <w:tblHeader w:val="true"/>
        </w:trPr>
        <w:tc>
          <w:tcPr>
            <w:tcW w:w="16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Finding ID</w:t>
            </w:r>
          </w:p>
        </w:tc>
        <w:tc>
          <w:tcPr>
            <w:tcW w:w="21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Vulnerability Description</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Port / Service</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Severity</w:t>
            </w:r>
          </w:p>
        </w:tc>
        <w:tc>
          <w:tcPr>
            <w:tcW w:w="175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CVE / CWE Reference</w:t>
            </w:r>
          </w:p>
        </w:tc>
        <w:tc>
          <w:tcPr>
            <w:tcW w:w="210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Remediation Priority</w:t>
            </w:r>
          </w:p>
        </w:tc>
      </w:tr>
      <w:tr>
        <w:trPr/>
        <w:tc>
          <w:tcPr>
            <w:tcW w:w="16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F-01</w:t>
            </w:r>
          </w:p>
        </w:tc>
        <w:tc>
          <w:tcPr>
            <w:tcW w:w="21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FTP Backdoor (</w:t>
            </w:r>
            <w:r>
              <w:rPr>
                <w:rStyle w:val="SourceText"/>
                <w:rFonts w:ascii="Timesnewroman" w:hAnsi="Timesnewroman"/>
                <w:sz w:val="28"/>
                <w:szCs w:val="28"/>
              </w:rPr>
              <w:t>vsftpd 2.3.4</w:t>
            </w:r>
            <w:r>
              <w:rPr>
                <w:rFonts w:ascii="Timesnewroman" w:hAnsi="Timesnewroman"/>
                <w:sz w:val="28"/>
                <w:szCs w:val="28"/>
              </w:rPr>
              <w:t>)</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21/tcp — FTP</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CRITICAL</w:t>
            </w:r>
          </w:p>
        </w:tc>
        <w:tc>
          <w:tcPr>
            <w:tcW w:w="175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CVE-2011-2523</w:t>
            </w:r>
          </w:p>
        </w:tc>
        <w:tc>
          <w:tcPr>
            <w:tcW w:w="210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w:t>
            </w:r>
          </w:p>
        </w:tc>
      </w:tr>
      <w:tr>
        <w:trPr/>
        <w:tc>
          <w:tcPr>
            <w:tcW w:w="16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F-02</w:t>
            </w:r>
          </w:p>
        </w:tc>
        <w:tc>
          <w:tcPr>
            <w:tcW w:w="21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Telnet Service Active Cleartext Transmission</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23/tcp — Telnet</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c>
          <w:tcPr>
            <w:tcW w:w="175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N/A</w:t>
            </w:r>
          </w:p>
        </w:tc>
        <w:tc>
          <w:tcPr>
            <w:tcW w:w="210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w:t>
            </w:r>
          </w:p>
        </w:tc>
      </w:tr>
      <w:tr>
        <w:trPr/>
        <w:tc>
          <w:tcPr>
            <w:tcW w:w="16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F-03</w:t>
            </w:r>
          </w:p>
        </w:tc>
        <w:tc>
          <w:tcPr>
            <w:tcW w:w="21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Samba Remote Code Execution Vulnerability</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139, 445 — SMB</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c>
          <w:tcPr>
            <w:tcW w:w="175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CVE-2007-2447</w:t>
            </w:r>
          </w:p>
        </w:tc>
        <w:tc>
          <w:tcPr>
            <w:tcW w:w="210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w:t>
            </w:r>
          </w:p>
        </w:tc>
      </w:tr>
      <w:tr>
        <w:trPr/>
        <w:tc>
          <w:tcPr>
            <w:tcW w:w="16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F-04</w:t>
            </w:r>
          </w:p>
        </w:tc>
        <w:tc>
          <w:tcPr>
            <w:tcW w:w="21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MySQL Database Engine Lack of Passwords</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3306/tcp — MySQL</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HIGH</w:t>
            </w:r>
          </w:p>
        </w:tc>
        <w:tc>
          <w:tcPr>
            <w:tcW w:w="175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CWE-521</w:t>
            </w:r>
          </w:p>
        </w:tc>
        <w:tc>
          <w:tcPr>
            <w:tcW w:w="210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w:t>
            </w:r>
          </w:p>
        </w:tc>
      </w:tr>
      <w:tr>
        <w:trPr/>
        <w:tc>
          <w:tcPr>
            <w:tcW w:w="16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F-05</w:t>
            </w:r>
          </w:p>
        </w:tc>
        <w:tc>
          <w:tcPr>
            <w:tcW w:w="21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phpinfo.php</w:t>
            </w:r>
            <w:r>
              <w:rPr>
                <w:rFonts w:ascii="Timesnewroman" w:hAnsi="Timesnewroman"/>
                <w:sz w:val="28"/>
                <w:szCs w:val="28"/>
              </w:rPr>
              <w:t xml:space="preserve"> Technical Parameter Leakage</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80/tcp — HTTP</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MEDIUM</w:t>
            </w:r>
          </w:p>
        </w:tc>
        <w:tc>
          <w:tcPr>
            <w:tcW w:w="175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CWE-200</w:t>
            </w:r>
          </w:p>
        </w:tc>
        <w:tc>
          <w:tcPr>
            <w:tcW w:w="210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Short-term</w:t>
            </w:r>
          </w:p>
        </w:tc>
      </w:tr>
      <w:tr>
        <w:trPr/>
        <w:tc>
          <w:tcPr>
            <w:tcW w:w="169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F-06</w:t>
            </w:r>
          </w:p>
        </w:tc>
        <w:tc>
          <w:tcPr>
            <w:tcW w:w="217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UnrealIRCd Remote Code Injection Hook</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6667/tcp — IRC</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CRITICAL</w:t>
            </w:r>
          </w:p>
        </w:tc>
        <w:tc>
          <w:tcPr>
            <w:tcW w:w="175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CVE-2010-2075</w:t>
            </w:r>
          </w:p>
        </w:tc>
        <w:tc>
          <w:tcPr>
            <w:tcW w:w="210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w:t>
            </w:r>
          </w:p>
        </w:tc>
      </w:tr>
    </w:tbl>
    <w:p>
      <w:pPr>
        <w:pStyle w:val="Heading2"/>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2"/>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6. Remediation Plan</w:t>
      </w:r>
    </w:p>
    <w:tbl>
      <w:tblPr>
        <w:tblW w:w="10260" w:type="dxa"/>
        <w:jc w:val="left"/>
        <w:tblInd w:w="180" w:type="dxa"/>
        <w:tblLayout w:type="fixed"/>
        <w:tblCellMar>
          <w:top w:w="120" w:type="dxa"/>
          <w:left w:w="180" w:type="dxa"/>
          <w:bottom w:w="120" w:type="dxa"/>
          <w:right w:w="180" w:type="dxa"/>
        </w:tblCellMar>
      </w:tblPr>
      <w:tblGrid>
        <w:gridCol w:w="1365"/>
        <w:gridCol w:w="1470"/>
        <w:gridCol w:w="1920"/>
        <w:gridCol w:w="3465"/>
        <w:gridCol w:w="2040"/>
      </w:tblGrid>
      <w:tr>
        <w:trPr>
          <w:tblHeader w:val="true"/>
        </w:trPr>
        <w:tc>
          <w:tcPr>
            <w:tcW w:w="13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Priority</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Finding ID</w:t>
            </w:r>
          </w:p>
        </w:tc>
        <w:tc>
          <w:tcPr>
            <w:tcW w:w="192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Remediation Objective</w:t>
            </w:r>
          </w:p>
        </w:tc>
        <w:tc>
          <w:tcPr>
            <w:tcW w:w="34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Technical Mitigation Directives</w:t>
            </w:r>
          </w:p>
        </w:tc>
        <w:tc>
          <w:tcPr>
            <w:tcW w:w="204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Fonts w:ascii="Timesnewroman" w:hAnsi="Timesnewroman"/>
                <w:sz w:val="28"/>
                <w:szCs w:val="28"/>
              </w:rPr>
              <w:t>Operational Timeline</w:t>
            </w:r>
          </w:p>
        </w:tc>
      </w:tr>
      <w:tr>
        <w:trPr/>
        <w:tc>
          <w:tcPr>
            <w:tcW w:w="13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1</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F-01</w:t>
            </w:r>
          </w:p>
        </w:tc>
        <w:tc>
          <w:tcPr>
            <w:tcW w:w="192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Remove vsftpd 2.3.4</w:t>
            </w:r>
          </w:p>
        </w:tc>
        <w:tc>
          <w:tcPr>
            <w:tcW w:w="34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Upgrade vsftpd or disable FTP. Block port 21. Verify no shell on port 6200.</w:t>
            </w:r>
          </w:p>
        </w:tc>
        <w:tc>
          <w:tcPr>
            <w:tcW w:w="204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 (24hr)</w:t>
            </w:r>
          </w:p>
        </w:tc>
      </w:tr>
      <w:tr>
        <w:trPr/>
        <w:tc>
          <w:tcPr>
            <w:tcW w:w="13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2</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F-06</w:t>
            </w:r>
          </w:p>
        </w:tc>
        <w:tc>
          <w:tcPr>
            <w:tcW w:w="192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Remove UnrealIRCd</w:t>
            </w:r>
          </w:p>
        </w:tc>
        <w:tc>
          <w:tcPr>
            <w:tcW w:w="34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Uninstall UnrealIRCd 3.2.8.1. Block port 6667. Reinstall clean software source.</w:t>
            </w:r>
          </w:p>
        </w:tc>
        <w:tc>
          <w:tcPr>
            <w:tcW w:w="204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 (24hr)</w:t>
            </w:r>
          </w:p>
        </w:tc>
      </w:tr>
      <w:tr>
        <w:trPr/>
        <w:tc>
          <w:tcPr>
            <w:tcW w:w="13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3</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F-02</w:t>
            </w:r>
          </w:p>
        </w:tc>
        <w:tc>
          <w:tcPr>
            <w:tcW w:w="192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Disable Telnet Daemon</w:t>
            </w:r>
          </w:p>
        </w:tc>
        <w:tc>
          <w:tcPr>
            <w:tcW w:w="34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Fonts w:ascii="Timesnewroman" w:hAnsi="Timesnewroman"/>
                <w:sz w:val="28"/>
                <w:szCs w:val="28"/>
              </w:rPr>
              <w:t xml:space="preserve">Stop </w:t>
            </w:r>
            <w:r>
              <w:rPr>
                <w:rStyle w:val="SourceText"/>
                <w:rFonts w:ascii="Timesnewroman" w:hAnsi="Timesnewroman"/>
                <w:sz w:val="28"/>
                <w:szCs w:val="28"/>
              </w:rPr>
              <w:t>telnetd</w:t>
            </w:r>
            <w:r>
              <w:rPr>
                <w:rFonts w:ascii="Timesnewroman" w:hAnsi="Timesnewroman"/>
                <w:sz w:val="28"/>
                <w:szCs w:val="28"/>
              </w:rPr>
              <w:t xml:space="preserve"> service. Use SSH exclusively for remote access.</w:t>
            </w:r>
          </w:p>
        </w:tc>
        <w:tc>
          <w:tcPr>
            <w:tcW w:w="204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 (24hr)</w:t>
            </w:r>
          </w:p>
        </w:tc>
      </w:tr>
      <w:tr>
        <w:trPr/>
        <w:tc>
          <w:tcPr>
            <w:tcW w:w="13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4</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F-03</w:t>
            </w:r>
          </w:p>
        </w:tc>
        <w:tc>
          <w:tcPr>
            <w:tcW w:w="192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Patch Samba</w:t>
            </w:r>
          </w:p>
        </w:tc>
        <w:tc>
          <w:tcPr>
            <w:tcW w:w="34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Upgrade to current Samba release. Restrict SMB to trusted hosts via firewall.</w:t>
            </w:r>
          </w:p>
        </w:tc>
        <w:tc>
          <w:tcPr>
            <w:tcW w:w="204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 (48hr)</w:t>
            </w:r>
          </w:p>
        </w:tc>
      </w:tr>
      <w:tr>
        <w:trPr/>
        <w:tc>
          <w:tcPr>
            <w:tcW w:w="13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5</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F-04</w:t>
            </w:r>
          </w:p>
        </w:tc>
        <w:tc>
          <w:tcPr>
            <w:tcW w:w="192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Secure MySQL root Account</w:t>
            </w:r>
          </w:p>
        </w:tc>
        <w:tc>
          <w:tcPr>
            <w:tcW w:w="34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Set a strong root password. Bind MySQL to localhost. Block port 3306.</w:t>
            </w:r>
          </w:p>
        </w:tc>
        <w:tc>
          <w:tcPr>
            <w:tcW w:w="204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Immediate (48hr)</w:t>
            </w:r>
          </w:p>
        </w:tc>
      </w:tr>
      <w:tr>
        <w:trPr/>
        <w:tc>
          <w:tcPr>
            <w:tcW w:w="13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6</w:t>
            </w:r>
          </w:p>
        </w:tc>
        <w:tc>
          <w:tcPr>
            <w:tcW w:w="147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pPr>
            <w:r>
              <w:rPr>
                <w:rStyle w:val="SourceText"/>
                <w:rFonts w:ascii="Timesnewroman" w:hAnsi="Timesnewroman"/>
                <w:sz w:val="28"/>
                <w:szCs w:val="28"/>
              </w:rPr>
              <w:t>F-05</w:t>
            </w:r>
          </w:p>
        </w:tc>
        <w:tc>
          <w:tcPr>
            <w:tcW w:w="192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Remove phpinfo.php</w:t>
            </w:r>
          </w:p>
        </w:tc>
        <w:tc>
          <w:tcPr>
            <w:tcW w:w="3465"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sz w:val="28"/>
                <w:szCs w:val="28"/>
              </w:rPr>
            </w:pPr>
            <w:r>
              <w:rPr>
                <w:rFonts w:ascii="Timesnewroman" w:hAnsi="Timesnewroman"/>
                <w:sz w:val="28"/>
                <w:szCs w:val="28"/>
              </w:rPr>
              <w:t>Delete diagnostic files from web root. Disable directory listing. Add security headers.</w:t>
            </w:r>
          </w:p>
        </w:tc>
        <w:tc>
          <w:tcPr>
            <w:tcW w:w="2040"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newroman" w:hAnsi="Timesnewroman"/>
                <w:b/>
                <w:sz w:val="28"/>
                <w:szCs w:val="28"/>
              </w:rPr>
            </w:pPr>
            <w:r>
              <w:rPr>
                <w:rFonts w:ascii="Timesnewroman" w:hAnsi="Timesnewroman"/>
                <w:b/>
                <w:sz w:val="28"/>
                <w:szCs w:val="28"/>
              </w:rPr>
              <w:t>Short-term (7 Days)</w:t>
            </w:r>
          </w:p>
        </w:tc>
      </w:tr>
    </w:tbl>
    <w:p>
      <w:pPr>
        <w:pStyle w:val="Heading2"/>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Heading2"/>
        <w:spacing w:lineRule="auto" w:line="274" w:before="0" w:after="140"/>
        <w:ind w:hanging="0" w:left="0" w:right="0"/>
        <w:rPr>
          <w:rFonts w:ascii="Timesnewroman" w:hAnsi="Timesnewroman" w:eastAsia="Noto Sans Mono CJK SC" w:cs="Liberation Mono"/>
          <w:sz w:val="30"/>
          <w:szCs w:val="30"/>
        </w:rPr>
      </w:pPr>
      <w:r>
        <w:rPr>
          <w:rFonts w:eastAsia="Noto Sans Mono CJK SC" w:cs="Liberation Mono" w:ascii="Timesnewroman" w:hAnsi="Timesnewroman"/>
          <w:sz w:val="30"/>
          <w:szCs w:val="30"/>
        </w:rPr>
        <w:t>7. Conclusion</w:t>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This vulnerability assessment of Metasploitable 2 identified six significant security vulnerabilities, including two critical backdoored services that allow unauthenticated remote root access. The overall security posture of the system is extremely poor, consistent with its purpose as an intentional training target.</w:t>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The findings highlight the real-world importance of patching services, shifting away from unencrypted cleartext management interfaces, enforcing database password schemas, and using firewall rules to narrow target network accessibility profiles.</w:t>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b/>
          <w:sz w:val="28"/>
          <w:szCs w:val="28"/>
        </w:rPr>
        <w:t>Prepared by:</w:t>
      </w:r>
      <w:r>
        <w:rPr>
          <w:rFonts w:eastAsia="Noto Sans Mono CJK SC" w:cs="Liberation Mono" w:ascii="Timesnewroman" w:hAnsi="Timesnewroman"/>
          <w:sz w:val="28"/>
          <w:szCs w:val="28"/>
        </w:rPr>
        <w:t xml:space="preserve"> Rudresha rk | InternSpark Internship | June 2026 |</w:t>
      </w:r>
    </w:p>
    <w:p>
      <w:pPr>
        <w:pStyle w:val="BodyText"/>
        <w:spacing w:lineRule="auto" w:line="274" w:before="0" w:after="140"/>
        <w:ind w:hanging="0" w:left="0" w:right="0"/>
        <w:rPr>
          <w:rFonts w:ascii="Timesnewroman" w:hAnsi="Timesnewroman" w:eastAsia="Noto Sans Mono CJK SC" w:cs="Liberation Mono"/>
          <w:sz w:val="28"/>
          <w:szCs w:val="28"/>
        </w:rPr>
      </w:pPr>
      <w:r>
        <w:rPr>
          <w:rFonts w:eastAsia="Noto Sans Mono CJK SC" w:cs="Liberation Mono" w:ascii="Timesnewroman" w:hAnsi="Timesnewroman"/>
          <w:sz w:val="28"/>
          <w:szCs w:val="28"/>
        </w:rPr>
        <w:t xml:space="preserve"> </w:t>
      </w:r>
      <w:r>
        <w:rPr>
          <w:rFonts w:eastAsia="Noto Sans Mono CJK SC" w:cs="Liberation Mono" w:ascii="Timesnewroman" w:hAnsi="Timesnewroman"/>
          <w:b/>
          <w:sz w:val="28"/>
          <w:szCs w:val="28"/>
        </w:rPr>
        <w:t>Classification: INTERNAL USE ONLY</w:t>
      </w:r>
    </w:p>
    <w:p>
      <w:pPr>
        <w:pStyle w:val="Heading3"/>
        <w:spacing w:lineRule="auto" w:line="274" w:before="0" w:after="140"/>
        <w:ind w:hanging="0" w:left="0" w:right="0"/>
        <w:rPr>
          <w:rFonts w:ascii="Timesnewroman" w:hAnsi="Timesnewroman"/>
          <w:sz w:val="28"/>
          <w:szCs w:val="28"/>
        </w:rPr>
      </w:pPr>
      <w:r>
        <w:rPr>
          <w:rFonts w:ascii="Timesnewroman" w:hAnsi="Timesnewroman"/>
          <w:sz w:val="28"/>
          <w:szCs w:val="28"/>
        </w:rPr>
      </w:r>
    </w:p>
    <w:sectPr>
      <w:type w:val="continuous"/>
      <w:pgSz w:w="11906" w:h="16838"/>
      <w:pgMar w:left="1162" w:right="1162" w:gutter="0" w:header="0" w:top="1162" w:footer="0" w:bottom="1162"/>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roman"/>
    <w:pitch w:val="variable"/>
  </w:font>
  <w:font w:name="Timesnew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IN"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FreeSans"/>
      <w:color w:val="auto"/>
      <w:kern w:val="0"/>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LibreOffice/26.2.2.2$Linux_X86_64 LibreOffice_project/620$Build-2</Application>
  <AppVersion>15.0000</AppVersion>
  <Pages>13</Pages>
  <Words>1435</Words>
  <Characters>9060</Characters>
  <CharactersWithSpaces>10214</CharactersWithSpaces>
  <Paragraphs>302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2026-06-03T20:43:04Z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