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21AD4D" w:rsidR="00C52A03" w:rsidRPr="0052677B" w:rsidRDefault="3DFE0C24" w:rsidP="3DFE0C24">
      <w:pPr>
        <w:rPr>
          <w:sz w:val="28"/>
          <w:szCs w:val="28"/>
          <w:u w:val="single"/>
        </w:rPr>
      </w:pPr>
      <w:r w:rsidRPr="006A4FC3">
        <w:rPr>
          <w:sz w:val="28"/>
          <w:szCs w:val="28"/>
        </w:rPr>
        <w:t xml:space="preserve">                                                      </w:t>
      </w:r>
      <w:r w:rsidR="004B7B3F">
        <w:rPr>
          <w:sz w:val="28"/>
          <w:szCs w:val="28"/>
          <w:u w:val="single"/>
        </w:rPr>
        <w:t>I</w:t>
      </w:r>
      <w:r w:rsidR="0009750F" w:rsidRPr="0052677B">
        <w:rPr>
          <w:rStyle w:val="normaltextrun"/>
          <w:rFonts w:ascii="Verdana" w:hAnsi="Verdana"/>
          <w:sz w:val="28"/>
          <w:szCs w:val="28"/>
          <w:u w:val="single"/>
          <w:bdr w:val="none" w:sz="0" w:space="0" w:color="auto" w:frame="1"/>
        </w:rPr>
        <w:t xml:space="preserve">solation </w:t>
      </w:r>
      <w:r w:rsidR="006A4FC3" w:rsidRPr="0052677B">
        <w:rPr>
          <w:rStyle w:val="normaltextrun"/>
          <w:rFonts w:ascii="Verdana" w:hAnsi="Verdana"/>
          <w:sz w:val="28"/>
          <w:szCs w:val="28"/>
          <w:u w:val="single"/>
          <w:bdr w:val="none" w:sz="0" w:space="0" w:color="auto" w:frame="1"/>
        </w:rPr>
        <w:t>L</w:t>
      </w:r>
      <w:r w:rsidR="0009750F" w:rsidRPr="0052677B">
        <w:rPr>
          <w:rStyle w:val="normaltextrun"/>
          <w:rFonts w:ascii="Verdana" w:hAnsi="Verdana"/>
          <w:sz w:val="28"/>
          <w:szCs w:val="28"/>
          <w:u w:val="single"/>
          <w:bdr w:val="none" w:sz="0" w:space="0" w:color="auto" w:frame="1"/>
        </w:rPr>
        <w:t>evels</w:t>
      </w:r>
    </w:p>
    <w:p w14:paraId="2B0319B6" w14:textId="795FED9F" w:rsidR="3DFE0C24" w:rsidRPr="0052677B" w:rsidRDefault="3DFE0C24" w:rsidP="3DFE0C24">
      <w:pPr>
        <w:rPr>
          <w:b/>
          <w:bCs/>
          <w:sz w:val="24"/>
          <w:szCs w:val="24"/>
          <w:u w:val="single"/>
        </w:rPr>
      </w:pPr>
    </w:p>
    <w:p w14:paraId="14616BFA" w14:textId="52C467CB" w:rsidR="00FB6043" w:rsidRPr="0052677B" w:rsidRDefault="006A4FC3" w:rsidP="286DD777">
      <w:pPr>
        <w:rPr>
          <w:rFonts w:ascii="Verdana" w:eastAsia="Verdana" w:hAnsi="Verdana" w:cs="Verdana"/>
          <w:sz w:val="24"/>
          <w:szCs w:val="24"/>
        </w:rPr>
      </w:pPr>
      <w:r w:rsidRPr="075C1F3B">
        <w:rPr>
          <w:rFonts w:ascii="Verdana" w:eastAsia="Verdana" w:hAnsi="Verdana" w:cs="Verdana"/>
          <w:sz w:val="24"/>
          <w:szCs w:val="24"/>
        </w:rPr>
        <w:t>A</w:t>
      </w:r>
      <w:r w:rsidR="286DD777" w:rsidRPr="075C1F3B">
        <w:rPr>
          <w:rFonts w:ascii="Verdana" w:eastAsia="Verdana" w:hAnsi="Verdana" w:cs="Verdana"/>
          <w:sz w:val="24"/>
          <w:szCs w:val="24"/>
        </w:rPr>
        <w:t>bout Read Uncommitted, Read Committed, and Repeatable read -- these are diff</w:t>
      </w:r>
      <w:r w:rsidR="00872482" w:rsidRPr="075C1F3B">
        <w:rPr>
          <w:rFonts w:ascii="Verdana" w:eastAsia="Verdana" w:hAnsi="Verdana" w:cs="Verdana"/>
          <w:sz w:val="24"/>
          <w:szCs w:val="24"/>
        </w:rPr>
        <w:t>erent isolation levels.  A</w:t>
      </w:r>
      <w:r w:rsidR="286DD777" w:rsidRPr="075C1F3B">
        <w:rPr>
          <w:rFonts w:ascii="Verdana" w:eastAsia="Verdana" w:hAnsi="Verdana" w:cs="Verdana"/>
          <w:sz w:val="24"/>
          <w:szCs w:val="24"/>
        </w:rPr>
        <w:t xml:space="preserve">lso do Serializable.  </w:t>
      </w:r>
    </w:p>
    <w:p w14:paraId="7BF64729" w14:textId="51E91EB6" w:rsidR="075C1F3B" w:rsidRDefault="075C1F3B" w:rsidP="075C1F3B">
      <w:pPr>
        <w:rPr>
          <w:rFonts w:ascii="Verdana" w:eastAsia="Verdana" w:hAnsi="Verdana" w:cs="Verdana"/>
          <w:sz w:val="24"/>
          <w:szCs w:val="24"/>
        </w:rPr>
      </w:pPr>
    </w:p>
    <w:p w14:paraId="34A47B7F" w14:textId="3AF67397" w:rsidR="004C1ADB" w:rsidRPr="0052677B" w:rsidRDefault="004C1ADB" w:rsidP="004C1ADB">
      <w:pPr>
        <w:pStyle w:val="NormalWeb"/>
        <w:shd w:val="clear" w:color="auto" w:fill="FFFFFF"/>
        <w:rPr>
          <w:rFonts w:ascii="Segoe UI" w:hAnsi="Segoe UI" w:cs="Segoe UI"/>
        </w:rPr>
      </w:pPr>
      <w:r w:rsidRPr="0052677B">
        <w:rPr>
          <w:rFonts w:ascii="Segoe UI" w:hAnsi="Segoe UI" w:cs="Segoe UI"/>
        </w:rPr>
        <w:t>READ UNCOMMITTED</w:t>
      </w:r>
      <w:r w:rsidRPr="0052677B">
        <w:rPr>
          <w:rFonts w:ascii="Segoe UI" w:hAnsi="Segoe UI" w:cs="Segoe UI"/>
        </w:rPr>
        <w:br/>
        <w:t>Specifies that statements can read rows that have been modified by other transactions but not yet committed.</w:t>
      </w:r>
      <w:r w:rsidR="00F37F68" w:rsidRPr="0052677B">
        <w:rPr>
          <w:rFonts w:ascii="Segoe UI" w:hAnsi="Segoe UI" w:cs="Segoe UI"/>
        </w:rPr>
        <w:t xml:space="preserve">    This is a dirty read (JL).  </w:t>
      </w:r>
    </w:p>
    <w:p w14:paraId="287B8A50" w14:textId="0204444D" w:rsidR="27470D7A" w:rsidRPr="0052677B" w:rsidRDefault="004C1ADB" w:rsidP="00872482">
      <w:pPr>
        <w:pStyle w:val="NormalWeb"/>
        <w:shd w:val="clear" w:color="auto" w:fill="FFFFFF"/>
        <w:rPr>
          <w:rFonts w:ascii="Segoe UI" w:hAnsi="Segoe UI" w:cs="Segoe UI"/>
        </w:rPr>
      </w:pPr>
      <w:r w:rsidRPr="0052677B">
        <w:rPr>
          <w:rFonts w:ascii="Segoe UI" w:hAnsi="Segoe UI" w:cs="Segoe UI"/>
        </w:rPr>
        <w:t xml:space="preserve">Transactions running at the READ UNCOMMITTED level do not issue shared locks to prevent other transactions from modifying data read by the current transaction. READ UNCOMMITTED transactions are also not blocked by exclusive locks that would prevent the current transaction from reading rows that have been modified but not committed by other transactions. When this option is set, it is possible to read uncommitted modifications, which are called dirty reads. </w:t>
      </w:r>
    </w:p>
    <w:p w14:paraId="78BCDC3E" w14:textId="005A1F0E" w:rsidR="00872482" w:rsidRPr="0052677B" w:rsidRDefault="00872482" w:rsidP="00872482">
      <w:pPr>
        <w:pStyle w:val="NormalWeb"/>
        <w:shd w:val="clear" w:color="auto" w:fill="FFFFFF"/>
        <w:rPr>
          <w:rFonts w:ascii="Segoe UI" w:hAnsi="Segoe UI" w:cs="Segoe UI"/>
        </w:rPr>
      </w:pPr>
      <w:r w:rsidRPr="0052677B">
        <w:rPr>
          <w:rFonts w:ascii="Segoe UI" w:hAnsi="Segoe UI" w:cs="Segoe UI"/>
        </w:rPr>
        <w:t>-----------------------------------------------------------------------------------------------------</w:t>
      </w:r>
    </w:p>
    <w:p w14:paraId="3AF9CE64" w14:textId="2FCB8B62" w:rsidR="004C1ADB" w:rsidRPr="0052677B" w:rsidRDefault="004C1ADB" w:rsidP="004C1ADB">
      <w:pPr>
        <w:pStyle w:val="NormalWeb"/>
        <w:shd w:val="clear" w:color="auto" w:fill="FFFFFF"/>
        <w:rPr>
          <w:rFonts w:ascii="Segoe UI" w:hAnsi="Segoe UI" w:cs="Segoe UI"/>
        </w:rPr>
      </w:pPr>
      <w:r w:rsidRPr="0052677B">
        <w:rPr>
          <w:rFonts w:ascii="Segoe UI" w:hAnsi="Segoe UI" w:cs="Segoe UI"/>
        </w:rPr>
        <w:t>READ COMMITTED</w:t>
      </w:r>
      <w:r w:rsidRPr="0052677B">
        <w:rPr>
          <w:rFonts w:ascii="Segoe UI" w:hAnsi="Segoe UI" w:cs="Segoe UI"/>
        </w:rPr>
        <w:br/>
        <w:t>Specifies that statements cannot read data that has been modified but not committed by other transactions. This prevents dirty reads. Data can be changed by other transactions between individual statements within the current transaction, r</w:t>
      </w:r>
      <w:r w:rsidR="006126F4" w:rsidRPr="0052677B">
        <w:rPr>
          <w:rFonts w:ascii="Segoe UI" w:hAnsi="Segoe UI" w:cs="Segoe UI"/>
        </w:rPr>
        <w:t xml:space="preserve">esulting in nonrepeatable reads. </w:t>
      </w:r>
      <w:r w:rsidRPr="0052677B">
        <w:rPr>
          <w:rFonts w:ascii="Segoe UI" w:hAnsi="Segoe UI" w:cs="Segoe UI"/>
        </w:rPr>
        <w:t xml:space="preserve"> This option is the SQL Server default.</w:t>
      </w:r>
      <w:r w:rsidR="006126F4" w:rsidRPr="0052677B">
        <w:rPr>
          <w:rFonts w:ascii="Segoe UI" w:hAnsi="Segoe UI" w:cs="Segoe UI"/>
        </w:rPr>
        <w:t xml:space="preserve">  </w:t>
      </w:r>
    </w:p>
    <w:p w14:paraId="17C44140" w14:textId="4A64933A" w:rsidR="004C1ADB" w:rsidRPr="0052677B" w:rsidRDefault="006126F4" w:rsidP="004C1ADB">
      <w:pPr>
        <w:pStyle w:val="NormalWeb"/>
        <w:rPr>
          <w:rFonts w:ascii="Segoe UI" w:hAnsi="Segoe UI" w:cs="Segoe UI"/>
        </w:rPr>
      </w:pPr>
      <w:r w:rsidRPr="0052677B">
        <w:rPr>
          <w:rFonts w:ascii="Segoe UI" w:hAnsi="Segoe UI" w:cs="Segoe UI"/>
        </w:rPr>
        <w:t>---------------------------------------------------------------------------------------------------------</w:t>
      </w:r>
    </w:p>
    <w:p w14:paraId="5F07E3D4" w14:textId="1B248CC0" w:rsidR="004C1ADB" w:rsidRPr="0052677B" w:rsidRDefault="004C1ADB" w:rsidP="004C1ADB">
      <w:pPr>
        <w:pStyle w:val="NormalWeb"/>
        <w:shd w:val="clear" w:color="auto" w:fill="FFFFFF"/>
        <w:rPr>
          <w:rFonts w:ascii="Segoe UI" w:hAnsi="Segoe UI" w:cs="Segoe UI"/>
        </w:rPr>
      </w:pPr>
      <w:r w:rsidRPr="0052677B">
        <w:rPr>
          <w:rFonts w:ascii="Segoe UI" w:hAnsi="Segoe UI" w:cs="Segoe UI"/>
        </w:rPr>
        <w:t>REPEATABLE READ</w:t>
      </w:r>
      <w:r w:rsidRPr="0052677B">
        <w:rPr>
          <w:rFonts w:ascii="Segoe UI" w:hAnsi="Segoe UI" w:cs="Segoe UI"/>
        </w:rPr>
        <w:br/>
        <w:t>Specifies that statements cannot read data that has been modified but not yet committed by other transactions</w:t>
      </w:r>
      <w:r w:rsidR="00387A0A">
        <w:rPr>
          <w:rFonts w:ascii="Segoe UI" w:hAnsi="Segoe UI" w:cs="Segoe UI"/>
        </w:rPr>
        <w:t xml:space="preserve">(no dirty read </w:t>
      </w:r>
      <w:proofErr w:type="spellStart"/>
      <w:r w:rsidR="00387A0A">
        <w:rPr>
          <w:rFonts w:ascii="Segoe UI" w:hAnsi="Segoe UI" w:cs="Segoe UI"/>
        </w:rPr>
        <w:t>allowed</w:t>
      </w:r>
      <w:proofErr w:type="spellEnd"/>
      <w:r w:rsidR="00387A0A">
        <w:rPr>
          <w:rFonts w:ascii="Segoe UI" w:hAnsi="Segoe UI" w:cs="Segoe UI"/>
        </w:rPr>
        <w:t>)</w:t>
      </w:r>
      <w:r w:rsidRPr="0052677B">
        <w:rPr>
          <w:rFonts w:ascii="Segoe UI" w:hAnsi="Segoe UI" w:cs="Segoe UI"/>
        </w:rPr>
        <w:t xml:space="preserve"> and that </w:t>
      </w:r>
      <w:r w:rsidRPr="0052677B">
        <w:rPr>
          <w:rFonts w:ascii="Segoe UI" w:hAnsi="Segoe UI" w:cs="Segoe UI"/>
          <w:b/>
          <w:bCs/>
          <w:sz w:val="28"/>
          <w:szCs w:val="28"/>
          <w:u w:val="single"/>
        </w:rPr>
        <w:t>no other transactions can modify data</w:t>
      </w:r>
      <w:r w:rsidRPr="0052677B">
        <w:rPr>
          <w:rFonts w:ascii="Segoe UI" w:hAnsi="Segoe UI" w:cs="Segoe UI"/>
        </w:rPr>
        <w:t xml:space="preserve"> that has been read by the current transaction until the current transaction completes.</w:t>
      </w:r>
      <w:r w:rsidR="00EE56CE" w:rsidRPr="0052677B">
        <w:rPr>
          <w:rFonts w:ascii="Segoe UI" w:hAnsi="Segoe UI" w:cs="Segoe UI"/>
        </w:rPr>
        <w:t xml:space="preserve">  </w:t>
      </w:r>
    </w:p>
    <w:p w14:paraId="4CBC22F7" w14:textId="45A0304D" w:rsidR="005461D9" w:rsidRDefault="004C1ADB" w:rsidP="005461D9">
      <w:pPr>
        <w:pStyle w:val="NormalWeb"/>
        <w:shd w:val="clear" w:color="auto" w:fill="FFFFFF" w:themeFill="background1"/>
        <w:rPr>
          <w:rFonts w:ascii="Segoe UI" w:hAnsi="Segoe UI" w:cs="Segoe UI"/>
        </w:rPr>
      </w:pPr>
      <w:r w:rsidRPr="0052677B">
        <w:rPr>
          <w:rFonts w:ascii="Segoe UI" w:hAnsi="Segoe UI" w:cs="Segoe UI"/>
        </w:rPr>
        <w:t xml:space="preserve">Shared locks are placed on all data read by each statement in the transaction and are held until the transaction completes. This prevents other transactions from modifying any rows that have been read by the current transaction. </w:t>
      </w:r>
      <w:r w:rsidRPr="0052677B">
        <w:rPr>
          <w:rFonts w:ascii="Segoe UI" w:hAnsi="Segoe UI" w:cs="Segoe UI"/>
          <w:b/>
          <w:bCs/>
          <w:sz w:val="28"/>
          <w:szCs w:val="28"/>
          <w:u w:val="single"/>
        </w:rPr>
        <w:t>Other transactions can insert new rows</w:t>
      </w:r>
      <w:r w:rsidRPr="0052677B">
        <w:rPr>
          <w:rFonts w:ascii="Segoe UI" w:hAnsi="Segoe UI" w:cs="Segoe UI"/>
        </w:rPr>
        <w:t xml:space="preserve"> that match the search conditions of statements issued by the current transaction. </w:t>
      </w:r>
      <w:r w:rsidRPr="0052677B">
        <w:rPr>
          <w:rFonts w:ascii="Segoe UI" w:hAnsi="Segoe UI" w:cs="Segoe UI"/>
          <w:b/>
          <w:bCs/>
          <w:sz w:val="28"/>
          <w:szCs w:val="28"/>
          <w:u w:val="single"/>
        </w:rPr>
        <w:t>If the current transaction then retries the statemen</w:t>
      </w:r>
      <w:r w:rsidR="005461D9" w:rsidRPr="0052677B">
        <w:rPr>
          <w:rFonts w:ascii="Segoe UI" w:hAnsi="Segoe UI" w:cs="Segoe UI"/>
          <w:b/>
          <w:bCs/>
          <w:sz w:val="28"/>
          <w:szCs w:val="28"/>
          <w:u w:val="single"/>
        </w:rPr>
        <w:t>t it will retrieve the new rows.</w:t>
      </w:r>
      <w:r w:rsidRPr="0052677B">
        <w:rPr>
          <w:rFonts w:ascii="Segoe UI" w:hAnsi="Segoe UI" w:cs="Segoe UI"/>
        </w:rPr>
        <w:t xml:space="preserve"> </w:t>
      </w:r>
    </w:p>
    <w:p w14:paraId="2D69E2CC" w14:textId="26921DFF" w:rsidR="008A5989" w:rsidRPr="0052677B" w:rsidRDefault="008A5989" w:rsidP="005461D9">
      <w:pPr>
        <w:pStyle w:val="NormalWeb"/>
        <w:shd w:val="clear" w:color="auto" w:fill="FFFFFF" w:themeFill="background1"/>
        <w:rPr>
          <w:rFonts w:ascii="Segoe UI" w:hAnsi="Segoe UI" w:cs="Segoe UI"/>
        </w:rPr>
      </w:pPr>
      <w:r>
        <w:rPr>
          <w:rFonts w:ascii="Segoe UI" w:hAnsi="Segoe UI" w:cs="Segoe UI"/>
        </w:rPr>
        <w:t xml:space="preserve">Can have many statements inside of one transaction (Begin Transaction).  (JL).  </w:t>
      </w:r>
    </w:p>
    <w:p w14:paraId="0FBD69AF" w14:textId="708C095B" w:rsidR="005461D9" w:rsidRPr="0052677B" w:rsidRDefault="005461D9" w:rsidP="005461D9">
      <w:pPr>
        <w:pStyle w:val="NormalWeb"/>
        <w:shd w:val="clear" w:color="auto" w:fill="FFFFFF" w:themeFill="background1"/>
        <w:rPr>
          <w:rFonts w:ascii="Segoe UI" w:hAnsi="Segoe UI" w:cs="Segoe UI"/>
        </w:rPr>
      </w:pPr>
      <w:r w:rsidRPr="0052677B">
        <w:rPr>
          <w:rFonts w:ascii="Segoe UI" w:hAnsi="Segoe UI" w:cs="Segoe UI"/>
        </w:rPr>
        <w:t>-----------------------------------------------------------------------------------------------------------</w:t>
      </w:r>
    </w:p>
    <w:p w14:paraId="6DDBAFAD" w14:textId="41F28165" w:rsidR="004C1ADB" w:rsidRPr="0052677B" w:rsidRDefault="004C1ADB" w:rsidP="004C1ADB">
      <w:pPr>
        <w:pStyle w:val="NormalWeb"/>
        <w:shd w:val="clear" w:color="auto" w:fill="FFFFFF"/>
        <w:rPr>
          <w:rFonts w:ascii="Segoe UI" w:hAnsi="Segoe UI" w:cs="Segoe UI"/>
        </w:rPr>
      </w:pPr>
      <w:r w:rsidRPr="0052677B">
        <w:rPr>
          <w:rFonts w:ascii="Segoe UI" w:hAnsi="Segoe UI" w:cs="Segoe UI"/>
        </w:rPr>
        <w:t>SERIALIZABL</w:t>
      </w:r>
      <w:r w:rsidR="009041A0">
        <w:rPr>
          <w:rFonts w:ascii="Segoe UI" w:hAnsi="Segoe UI" w:cs="Segoe UI"/>
        </w:rPr>
        <w:t xml:space="preserve">E  </w:t>
      </w:r>
      <w:r w:rsidRPr="0052677B">
        <w:rPr>
          <w:rFonts w:ascii="Segoe UI" w:hAnsi="Segoe UI" w:cs="Segoe UI"/>
        </w:rPr>
        <w:br/>
        <w:t>Specifies the following:</w:t>
      </w:r>
    </w:p>
    <w:p w14:paraId="1FEF7304" w14:textId="2F607F8B" w:rsidR="004C1ADB" w:rsidRPr="0052677B" w:rsidRDefault="004C1ADB" w:rsidP="004C1ADB">
      <w:pPr>
        <w:pStyle w:val="NormalWeb"/>
        <w:numPr>
          <w:ilvl w:val="0"/>
          <w:numId w:val="4"/>
        </w:numPr>
        <w:shd w:val="clear" w:color="auto" w:fill="FFFFFF"/>
        <w:ind w:left="1290"/>
        <w:rPr>
          <w:rFonts w:ascii="Segoe UI" w:hAnsi="Segoe UI" w:cs="Segoe UI"/>
        </w:rPr>
      </w:pPr>
      <w:r w:rsidRPr="0052677B">
        <w:rPr>
          <w:rFonts w:ascii="Segoe UI" w:hAnsi="Segoe UI" w:cs="Segoe UI"/>
        </w:rPr>
        <w:lastRenderedPageBreak/>
        <w:t>Statements cannot read data that has been modified but not yet committed by other transactions.</w:t>
      </w:r>
      <w:r w:rsidR="00C5442C">
        <w:rPr>
          <w:rFonts w:ascii="Segoe UI" w:hAnsi="Segoe UI" w:cs="Segoe UI"/>
        </w:rPr>
        <w:t xml:space="preserve">  No dirty Reads </w:t>
      </w:r>
      <w:proofErr w:type="spellStart"/>
      <w:r w:rsidR="00C5442C">
        <w:rPr>
          <w:rFonts w:ascii="Segoe UI" w:hAnsi="Segoe UI" w:cs="Segoe UI"/>
        </w:rPr>
        <w:t>allowed</w:t>
      </w:r>
      <w:proofErr w:type="spellEnd"/>
      <w:r w:rsidR="00C5442C">
        <w:rPr>
          <w:rFonts w:ascii="Segoe UI" w:hAnsi="Segoe UI" w:cs="Segoe UI"/>
        </w:rPr>
        <w:t xml:space="preserve">.  </w:t>
      </w:r>
    </w:p>
    <w:p w14:paraId="401C1AF9" w14:textId="77777777" w:rsidR="004C1ADB" w:rsidRPr="0052677B" w:rsidRDefault="004C1ADB" w:rsidP="004C1ADB">
      <w:pPr>
        <w:pStyle w:val="NormalWeb"/>
        <w:numPr>
          <w:ilvl w:val="0"/>
          <w:numId w:val="4"/>
        </w:numPr>
        <w:shd w:val="clear" w:color="auto" w:fill="FFFFFF"/>
        <w:ind w:left="1290"/>
        <w:rPr>
          <w:rFonts w:ascii="Segoe UI" w:hAnsi="Segoe UI" w:cs="Segoe UI"/>
        </w:rPr>
      </w:pPr>
      <w:r w:rsidRPr="0052677B">
        <w:rPr>
          <w:rFonts w:ascii="Segoe UI" w:hAnsi="Segoe UI" w:cs="Segoe UI"/>
        </w:rPr>
        <w:t>No other transactions can modify data that has been read by the current transaction until the current transaction completes.</w:t>
      </w:r>
    </w:p>
    <w:p w14:paraId="114396FB" w14:textId="575465B1" w:rsidR="004C1ADB" w:rsidRPr="0052677B" w:rsidRDefault="004C1ADB" w:rsidP="004C1ADB">
      <w:pPr>
        <w:pStyle w:val="NormalWeb"/>
        <w:numPr>
          <w:ilvl w:val="0"/>
          <w:numId w:val="4"/>
        </w:numPr>
        <w:shd w:val="clear" w:color="auto" w:fill="FFFFFF"/>
        <w:ind w:left="1290"/>
        <w:rPr>
          <w:rFonts w:ascii="Segoe UI" w:hAnsi="Segoe UI" w:cs="Segoe UI"/>
        </w:rPr>
      </w:pPr>
      <w:r w:rsidRPr="0052677B">
        <w:rPr>
          <w:rFonts w:ascii="Segoe UI" w:hAnsi="Segoe UI" w:cs="Segoe UI"/>
        </w:rPr>
        <w:t>Other transactions cannot insert new rows with key values that would fall in the range of keys read by any statements in the current transaction until the current transaction completes.</w:t>
      </w:r>
      <w:r w:rsidR="006C48C3" w:rsidRPr="0052677B">
        <w:rPr>
          <w:rFonts w:ascii="Segoe UI" w:hAnsi="Segoe UI" w:cs="Segoe UI"/>
        </w:rPr>
        <w:t xml:space="preserve">  </w:t>
      </w:r>
    </w:p>
    <w:p w14:paraId="494E860B" w14:textId="77777777" w:rsidR="001B3295" w:rsidRDefault="004C1ADB" w:rsidP="001B3295">
      <w:pPr>
        <w:pStyle w:val="NormalWeb"/>
        <w:shd w:val="clear" w:color="auto" w:fill="FFFFFF"/>
        <w:rPr>
          <w:rFonts w:ascii="Segoe UI" w:hAnsi="Segoe UI" w:cs="Segoe UI"/>
        </w:rPr>
      </w:pPr>
      <w:r w:rsidRPr="0052677B">
        <w:rPr>
          <w:rFonts w:ascii="Segoe UI" w:hAnsi="Segoe UI" w:cs="Segoe UI"/>
        </w:rPr>
        <w:t xml:space="preserve">Range locks are placed in the range of key values that match the search conditions of each statement executed in a transaction. This blocks other transactions from updating or inserting any rows that would qualify for any of the statements executed by the current transaction. </w:t>
      </w:r>
      <w:r w:rsidRPr="00436F99">
        <w:rPr>
          <w:rFonts w:ascii="Segoe UI" w:hAnsi="Segoe UI" w:cs="Segoe UI"/>
          <w:b/>
          <w:bCs/>
          <w:u w:val="single"/>
        </w:rPr>
        <w:t>This means that if any of the statements in a transaction are executed a second time, they will read the same set of rows</w:t>
      </w:r>
      <w:r w:rsidRPr="0052677B">
        <w:rPr>
          <w:rFonts w:ascii="Segoe UI" w:hAnsi="Segoe UI" w:cs="Segoe UI"/>
        </w:rPr>
        <w:t>. The range locks are held until the transaction completes. This is the most restrictive of the isolation levels because it locks entire ranges of keys and holds the locks until the transaction completes. Because concurrency is lower, use t</w:t>
      </w:r>
      <w:r w:rsidR="005461D9" w:rsidRPr="0052677B">
        <w:rPr>
          <w:rFonts w:ascii="Segoe UI" w:hAnsi="Segoe UI" w:cs="Segoe UI"/>
        </w:rPr>
        <w:t xml:space="preserve">his option only when necessary.  </w:t>
      </w:r>
    </w:p>
    <w:p w14:paraId="06F707E7" w14:textId="392486A7" w:rsidR="001B3295" w:rsidRPr="00EC0EBE" w:rsidRDefault="001B3295" w:rsidP="001B3295">
      <w:pPr>
        <w:pStyle w:val="NormalWeb"/>
        <w:shd w:val="clear" w:color="auto" w:fill="FFFFFF"/>
        <w:rPr>
          <w:rFonts w:ascii="Segoe UI" w:hAnsi="Segoe UI" w:cs="Segoe UI"/>
          <w:b/>
          <w:bCs/>
          <w:u w:val="single"/>
        </w:rPr>
      </w:pPr>
      <w:r w:rsidRPr="00EC0EBE">
        <w:rPr>
          <w:rFonts w:ascii="Segoe UI" w:hAnsi="Segoe UI" w:cs="Segoe UI"/>
          <w:b/>
          <w:bCs/>
          <w:u w:val="single"/>
        </w:rPr>
        <w:t xml:space="preserve">So, this does Not allow </w:t>
      </w:r>
      <w:r w:rsidRPr="00EC0EBE">
        <w:rPr>
          <w:rFonts w:ascii="Segoe UI" w:hAnsi="Segoe UI" w:cs="Segoe UI"/>
          <w:b/>
          <w:bCs/>
          <w:u w:val="single"/>
        </w:rPr>
        <w:t>REPEATABLE READ</w:t>
      </w:r>
      <w:r w:rsidRPr="00EC0EBE">
        <w:rPr>
          <w:rFonts w:ascii="Segoe UI" w:hAnsi="Segoe UI" w:cs="Segoe UI"/>
          <w:b/>
          <w:bCs/>
          <w:u w:val="single"/>
        </w:rPr>
        <w:t xml:space="preserve">  </w:t>
      </w:r>
    </w:p>
    <w:p w14:paraId="517B024F" w14:textId="77777777" w:rsidR="004C1ADB" w:rsidRPr="0052677B" w:rsidRDefault="004C1ADB" w:rsidP="004C1ADB">
      <w:pPr>
        <w:pStyle w:val="Heading2"/>
        <w:shd w:val="clear" w:color="auto" w:fill="FFFFFF"/>
        <w:spacing w:before="0" w:after="0"/>
        <w:rPr>
          <w:rFonts w:ascii="Segoe UI" w:hAnsi="Segoe UI" w:cs="Segoe UI"/>
        </w:rPr>
      </w:pPr>
      <w:r w:rsidRPr="0052677B">
        <w:rPr>
          <w:rFonts w:ascii="Segoe UI" w:hAnsi="Segoe UI" w:cs="Segoe UI"/>
        </w:rPr>
        <w:t>Remarks</w:t>
      </w:r>
    </w:p>
    <w:p w14:paraId="77146AAF" w14:textId="77AF5DC6" w:rsidR="004C1ADB" w:rsidRDefault="004C1ADB" w:rsidP="004C1ADB">
      <w:pPr>
        <w:pStyle w:val="NormalWeb"/>
        <w:shd w:val="clear" w:color="auto" w:fill="FFFFFF"/>
        <w:rPr>
          <w:rFonts w:ascii="Segoe UI" w:hAnsi="Segoe UI" w:cs="Segoe UI"/>
        </w:rPr>
      </w:pPr>
      <w:r w:rsidRPr="0052677B">
        <w:rPr>
          <w:rFonts w:ascii="Segoe UI" w:hAnsi="Segoe UI" w:cs="Segoe UI"/>
        </w:rPr>
        <w:t xml:space="preserve">Only one of the isolation level options can be set at a time, and it remains set for that connection until it is explicitly changed. </w:t>
      </w:r>
    </w:p>
    <w:p w14:paraId="5914CA7B" w14:textId="77777777" w:rsidR="008062C1" w:rsidRPr="0074404F" w:rsidRDefault="004C1ADB" w:rsidP="004C1ADB">
      <w:pPr>
        <w:pStyle w:val="NormalWeb"/>
        <w:shd w:val="clear" w:color="auto" w:fill="FFFFFF"/>
        <w:rPr>
          <w:rFonts w:ascii="Segoe UI" w:hAnsi="Segoe UI" w:cs="Segoe UI"/>
        </w:rPr>
      </w:pPr>
      <w:r w:rsidRPr="0074404F">
        <w:rPr>
          <w:rFonts w:ascii="Segoe UI" w:hAnsi="Segoe UI" w:cs="Segoe UI"/>
        </w:rPr>
        <w:t xml:space="preserve">The transaction isolation levels define the type of locks acquired on read operations. Shared locks acquired for READ COMMITTED or REPEATABLE READ are generally row locks, although the row locks can be escalated to page or table locks if a significant number of the rows in a page or table are referenced by the read. </w:t>
      </w:r>
    </w:p>
    <w:p w14:paraId="654DC18B" w14:textId="0DA8B9D0" w:rsidR="004C1ADB" w:rsidRDefault="004C1ADB" w:rsidP="004C1ADB">
      <w:pPr>
        <w:pStyle w:val="NormalWeb"/>
        <w:shd w:val="clear" w:color="auto" w:fill="FFFFFF"/>
        <w:rPr>
          <w:rFonts w:ascii="Segoe UI" w:hAnsi="Segoe UI" w:cs="Segoe UI"/>
          <w:color w:val="0070C0"/>
        </w:rPr>
      </w:pPr>
      <w:r w:rsidRPr="008062C1">
        <w:rPr>
          <w:rFonts w:ascii="Segoe UI" w:hAnsi="Segoe UI" w:cs="Segoe UI"/>
          <w:color w:val="0070C0"/>
        </w:rPr>
        <w:t>If a row is modified by the transaction after it has been read, the transaction acquires an exclusive lock to protect that row, and the exclusive lock is retained until the transaction completes. For example, if a REPEATABLE READ transaction has a shared lock on a row, and the transaction then modifies the row, the shared row lock is converted to an exclusive row lock.</w:t>
      </w:r>
    </w:p>
    <w:p w14:paraId="7E4D8BF8" w14:textId="4CDAF65F" w:rsidR="008062C1" w:rsidRPr="008062C1" w:rsidRDefault="00BB7283" w:rsidP="004C1ADB">
      <w:pPr>
        <w:pStyle w:val="NormalWeb"/>
        <w:shd w:val="clear" w:color="auto" w:fill="FFFFFF"/>
        <w:rPr>
          <w:rFonts w:ascii="Segoe UI" w:hAnsi="Segoe UI" w:cs="Segoe UI"/>
          <w:color w:val="0070C0"/>
        </w:rPr>
      </w:pPr>
      <w:r>
        <w:rPr>
          <w:rFonts w:ascii="Segoe UI" w:hAnsi="Segoe UI" w:cs="Segoe UI"/>
          <w:color w:val="0070C0"/>
        </w:rPr>
        <w:t>-----------------------------------------------------------------------------------------------------------</w:t>
      </w:r>
    </w:p>
    <w:p w14:paraId="4271D5D6" w14:textId="77777777" w:rsidR="004C1ADB" w:rsidRPr="00896FEC" w:rsidRDefault="004C1ADB" w:rsidP="004C1ADB">
      <w:pPr>
        <w:pStyle w:val="Heading2"/>
        <w:shd w:val="clear" w:color="auto" w:fill="FFFFFF"/>
        <w:spacing w:before="0" w:after="0"/>
        <w:rPr>
          <w:rFonts w:ascii="Segoe UI" w:hAnsi="Segoe UI" w:cs="Segoe UI"/>
        </w:rPr>
      </w:pPr>
      <w:r w:rsidRPr="00896FEC">
        <w:rPr>
          <w:rFonts w:ascii="Segoe UI" w:hAnsi="Segoe UI" w:cs="Segoe UI"/>
        </w:rPr>
        <w:t>Examples</w:t>
      </w:r>
    </w:p>
    <w:p w14:paraId="24253B33" w14:textId="77777777" w:rsidR="004C1ADB" w:rsidRPr="00896FEC" w:rsidRDefault="004C1ADB" w:rsidP="004C1ADB">
      <w:pPr>
        <w:pStyle w:val="NormalWeb"/>
        <w:shd w:val="clear" w:color="auto" w:fill="FFFFFF"/>
        <w:rPr>
          <w:rFonts w:ascii="Segoe UI" w:hAnsi="Segoe UI" w:cs="Segoe UI"/>
        </w:rPr>
      </w:pPr>
      <w:r w:rsidRPr="00896FEC">
        <w:rPr>
          <w:rFonts w:ascii="Segoe UI" w:hAnsi="Segoe UI" w:cs="Segoe UI"/>
        </w:rPr>
        <w:t>The following example sets the </w:t>
      </w:r>
      <w:r w:rsidRPr="00896FEC">
        <w:rPr>
          <w:rStyle w:val="HTMLCode"/>
          <w:rFonts w:ascii="Consolas" w:hAnsi="Consolas"/>
        </w:rPr>
        <w:t>TRANSACTION ISOLATION LEVEL</w:t>
      </w:r>
      <w:r w:rsidRPr="00896FEC">
        <w:rPr>
          <w:rFonts w:ascii="Segoe UI" w:hAnsi="Segoe UI" w:cs="Segoe UI"/>
        </w:rPr>
        <w:t> </w:t>
      </w:r>
      <w:r w:rsidRPr="000C67FE">
        <w:rPr>
          <w:rFonts w:ascii="Segoe UI" w:hAnsi="Segoe UI" w:cs="Segoe UI"/>
          <w:b/>
          <w:bCs/>
          <w:u w:val="single"/>
        </w:rPr>
        <w:t>for the session</w:t>
      </w:r>
      <w:r w:rsidRPr="00896FEC">
        <w:rPr>
          <w:rFonts w:ascii="Segoe UI" w:hAnsi="Segoe UI" w:cs="Segoe UI"/>
        </w:rPr>
        <w:t>. For each Transact-SQL statement that follows, SQL Server holds all of the shared locks until the end of the transaction.</w:t>
      </w:r>
    </w:p>
    <w:p w14:paraId="435CDFCE" w14:textId="77777777" w:rsidR="004C1ADB" w:rsidRPr="00896FEC" w:rsidRDefault="004C1ADB" w:rsidP="004C1ADB">
      <w:pPr>
        <w:rPr>
          <w:rFonts w:ascii="Segoe UI" w:hAnsi="Segoe UI" w:cs="Segoe UI"/>
        </w:rPr>
      </w:pPr>
      <w:proofErr w:type="spellStart"/>
      <w:r w:rsidRPr="00896FEC">
        <w:rPr>
          <w:rStyle w:val="language"/>
          <w:rFonts w:ascii="Segoe UI" w:hAnsi="Segoe UI" w:cs="Segoe UI"/>
        </w:rPr>
        <w:t>SQL</w:t>
      </w:r>
      <w:r w:rsidRPr="00896FEC">
        <w:rPr>
          <w:rFonts w:ascii="Segoe UI" w:hAnsi="Segoe UI" w:cs="Segoe UI"/>
        </w:rPr>
        <w:t>Copy</w:t>
      </w:r>
      <w:proofErr w:type="spellEnd"/>
    </w:p>
    <w:p w14:paraId="5D02B83A"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USE</w:t>
      </w:r>
      <w:r w:rsidRPr="00896FEC">
        <w:rPr>
          <w:rStyle w:val="HTMLCode"/>
          <w:rFonts w:ascii="Consolas" w:hAnsi="Consolas"/>
          <w:bdr w:val="none" w:sz="0" w:space="0" w:color="auto" w:frame="1"/>
        </w:rPr>
        <w:t xml:space="preserve"> AdventureWorks2012;  </w:t>
      </w:r>
    </w:p>
    <w:p w14:paraId="4C627378"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GO  </w:t>
      </w:r>
    </w:p>
    <w:p w14:paraId="77F499BB"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SET</w:t>
      </w: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TRANSACTION</w:t>
      </w: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ISOLATION</w:t>
      </w: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LEVEL</w:t>
      </w:r>
      <w:r w:rsidRPr="00896FEC">
        <w:rPr>
          <w:rStyle w:val="HTMLCode"/>
          <w:rFonts w:ascii="Consolas" w:hAnsi="Consolas"/>
          <w:bdr w:val="none" w:sz="0" w:space="0" w:color="auto" w:frame="1"/>
        </w:rPr>
        <w:t xml:space="preserve"> REPEATABLE </w:t>
      </w:r>
      <w:r w:rsidRPr="00896FEC">
        <w:rPr>
          <w:rStyle w:val="hljs-keyword"/>
          <w:rFonts w:ascii="Consolas" w:hAnsi="Consolas"/>
          <w:bdr w:val="none" w:sz="0" w:space="0" w:color="auto" w:frame="1"/>
        </w:rPr>
        <w:t>READ</w:t>
      </w:r>
      <w:r w:rsidRPr="00896FEC">
        <w:rPr>
          <w:rStyle w:val="HTMLCode"/>
          <w:rFonts w:ascii="Consolas" w:hAnsi="Consolas"/>
          <w:bdr w:val="none" w:sz="0" w:space="0" w:color="auto" w:frame="1"/>
        </w:rPr>
        <w:t xml:space="preserve">;  </w:t>
      </w:r>
    </w:p>
    <w:p w14:paraId="7DBAA4A6"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GO  </w:t>
      </w:r>
    </w:p>
    <w:p w14:paraId="7C4B6F1C"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BEGIN</w:t>
      </w: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TRANSACTION</w:t>
      </w:r>
      <w:r w:rsidRPr="00896FEC">
        <w:rPr>
          <w:rStyle w:val="HTMLCode"/>
          <w:rFonts w:ascii="Consolas" w:hAnsi="Consolas"/>
          <w:bdr w:val="none" w:sz="0" w:space="0" w:color="auto" w:frame="1"/>
        </w:rPr>
        <w:t xml:space="preserve">;  </w:t>
      </w:r>
    </w:p>
    <w:p w14:paraId="74F27A48"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lastRenderedPageBreak/>
        <w:t xml:space="preserve">GO  </w:t>
      </w:r>
    </w:p>
    <w:p w14:paraId="154A18C4"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SELECT</w:t>
      </w:r>
      <w:r w:rsidRPr="00896FEC">
        <w:rPr>
          <w:rStyle w:val="HTMLCode"/>
          <w:rFonts w:ascii="Consolas" w:hAnsi="Consolas"/>
          <w:bdr w:val="none" w:sz="0" w:space="0" w:color="auto" w:frame="1"/>
        </w:rPr>
        <w:t xml:space="preserve"> *   </w:t>
      </w:r>
    </w:p>
    <w:p w14:paraId="56A4CD60"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FROM</w:t>
      </w:r>
      <w:r w:rsidRPr="00896FEC">
        <w:rPr>
          <w:rStyle w:val="HTMLCode"/>
          <w:rFonts w:ascii="Consolas" w:hAnsi="Consolas"/>
          <w:bdr w:val="none" w:sz="0" w:space="0" w:color="auto" w:frame="1"/>
        </w:rPr>
        <w:t xml:space="preserve"> </w:t>
      </w:r>
      <w:proofErr w:type="spellStart"/>
      <w:r w:rsidRPr="00896FEC">
        <w:rPr>
          <w:rStyle w:val="HTMLCode"/>
          <w:rFonts w:ascii="Consolas" w:hAnsi="Consolas"/>
          <w:bdr w:val="none" w:sz="0" w:space="0" w:color="auto" w:frame="1"/>
        </w:rPr>
        <w:t>HumanResources.EmployeePayHistory</w:t>
      </w:r>
      <w:proofErr w:type="spellEnd"/>
      <w:r w:rsidRPr="00896FEC">
        <w:rPr>
          <w:rStyle w:val="HTMLCode"/>
          <w:rFonts w:ascii="Consolas" w:hAnsi="Consolas"/>
          <w:bdr w:val="none" w:sz="0" w:space="0" w:color="auto" w:frame="1"/>
        </w:rPr>
        <w:t xml:space="preserve">;  </w:t>
      </w:r>
    </w:p>
    <w:p w14:paraId="0B67C23B"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GO  </w:t>
      </w:r>
    </w:p>
    <w:p w14:paraId="2693098F"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SELECT</w:t>
      </w:r>
      <w:r w:rsidRPr="00896FEC">
        <w:rPr>
          <w:rStyle w:val="HTMLCode"/>
          <w:rFonts w:ascii="Consolas" w:hAnsi="Consolas"/>
          <w:bdr w:val="none" w:sz="0" w:space="0" w:color="auto" w:frame="1"/>
        </w:rPr>
        <w:t xml:space="preserve"> *   </w:t>
      </w:r>
    </w:p>
    <w:p w14:paraId="71E2684C"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FROM</w:t>
      </w:r>
      <w:r w:rsidRPr="00896FEC">
        <w:rPr>
          <w:rStyle w:val="HTMLCode"/>
          <w:rFonts w:ascii="Consolas" w:hAnsi="Consolas"/>
          <w:bdr w:val="none" w:sz="0" w:space="0" w:color="auto" w:frame="1"/>
        </w:rPr>
        <w:t xml:space="preserve"> </w:t>
      </w:r>
      <w:proofErr w:type="spellStart"/>
      <w:r w:rsidRPr="00896FEC">
        <w:rPr>
          <w:rStyle w:val="HTMLCode"/>
          <w:rFonts w:ascii="Consolas" w:hAnsi="Consolas"/>
          <w:bdr w:val="none" w:sz="0" w:space="0" w:color="auto" w:frame="1"/>
        </w:rPr>
        <w:t>HumanResources.Department</w:t>
      </w:r>
      <w:proofErr w:type="spellEnd"/>
      <w:r w:rsidRPr="00896FEC">
        <w:rPr>
          <w:rStyle w:val="HTMLCode"/>
          <w:rFonts w:ascii="Consolas" w:hAnsi="Consolas"/>
          <w:bdr w:val="none" w:sz="0" w:space="0" w:color="auto" w:frame="1"/>
        </w:rPr>
        <w:t xml:space="preserve">;  </w:t>
      </w:r>
    </w:p>
    <w:p w14:paraId="15C8120A"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GO  </w:t>
      </w:r>
    </w:p>
    <w:p w14:paraId="3768C8CC"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ljs-keyword"/>
          <w:rFonts w:ascii="Consolas" w:hAnsi="Consolas"/>
          <w:bdr w:val="none" w:sz="0" w:space="0" w:color="auto" w:frame="1"/>
        </w:rPr>
        <w:t>COMMIT</w:t>
      </w:r>
      <w:r w:rsidRPr="00896FEC">
        <w:rPr>
          <w:rStyle w:val="HTMLCode"/>
          <w:rFonts w:ascii="Consolas" w:hAnsi="Consolas"/>
          <w:bdr w:val="none" w:sz="0" w:space="0" w:color="auto" w:frame="1"/>
        </w:rPr>
        <w:t xml:space="preserve"> </w:t>
      </w:r>
      <w:r w:rsidRPr="00896FEC">
        <w:rPr>
          <w:rStyle w:val="hljs-keyword"/>
          <w:rFonts w:ascii="Consolas" w:hAnsi="Consolas"/>
          <w:bdr w:val="none" w:sz="0" w:space="0" w:color="auto" w:frame="1"/>
        </w:rPr>
        <w:t>TRANSACTION</w:t>
      </w:r>
      <w:r w:rsidRPr="00896FEC">
        <w:rPr>
          <w:rStyle w:val="HTMLCode"/>
          <w:rFonts w:ascii="Consolas" w:hAnsi="Consolas"/>
          <w:bdr w:val="none" w:sz="0" w:space="0" w:color="auto" w:frame="1"/>
        </w:rPr>
        <w:t xml:space="preserve">;  </w:t>
      </w:r>
    </w:p>
    <w:p w14:paraId="49EC18AB" w14:textId="77777777" w:rsidR="004C1ADB" w:rsidRPr="00896FEC" w:rsidRDefault="004C1ADB" w:rsidP="004C1ADB">
      <w:pPr>
        <w:pStyle w:val="HTMLPreformatted"/>
        <w:rPr>
          <w:rStyle w:val="HTMLCode"/>
          <w:rFonts w:ascii="Consolas" w:hAnsi="Consolas"/>
          <w:bdr w:val="none" w:sz="0" w:space="0" w:color="auto" w:frame="1"/>
        </w:rPr>
      </w:pPr>
      <w:r w:rsidRPr="00896FEC">
        <w:rPr>
          <w:rStyle w:val="HTMLCode"/>
          <w:rFonts w:ascii="Consolas" w:hAnsi="Consolas"/>
          <w:bdr w:val="none" w:sz="0" w:space="0" w:color="auto" w:frame="1"/>
        </w:rPr>
        <w:t xml:space="preserve">GO  </w:t>
      </w:r>
    </w:p>
    <w:p w14:paraId="72434369" w14:textId="77777777" w:rsidR="004C1ADB" w:rsidRPr="00896FEC" w:rsidRDefault="004C1ADB" w:rsidP="286DD777">
      <w:pPr>
        <w:rPr>
          <w:rFonts w:ascii="Verdana" w:eastAsia="Verdana" w:hAnsi="Verdana" w:cs="Verdana"/>
          <w:sz w:val="24"/>
          <w:szCs w:val="24"/>
        </w:rPr>
      </w:pPr>
    </w:p>
    <w:sectPr w:rsidR="004C1ADB" w:rsidRPr="00896FEC" w:rsidSect="002008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01A"/>
    <w:multiLevelType w:val="multilevel"/>
    <w:tmpl w:val="C5085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3C44"/>
    <w:multiLevelType w:val="multilevel"/>
    <w:tmpl w:val="95AEA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B602A"/>
    <w:multiLevelType w:val="multilevel"/>
    <w:tmpl w:val="EE96B1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616B2"/>
    <w:multiLevelType w:val="hybridMultilevel"/>
    <w:tmpl w:val="9EDE1E08"/>
    <w:lvl w:ilvl="0" w:tplc="7222179C">
      <w:start w:val="1"/>
      <w:numFmt w:val="bullet"/>
      <w:lvlText w:val=""/>
      <w:lvlJc w:val="left"/>
      <w:pPr>
        <w:ind w:left="720" w:hanging="360"/>
      </w:pPr>
      <w:rPr>
        <w:rFonts w:ascii="Symbol" w:hAnsi="Symbol" w:hint="default"/>
      </w:rPr>
    </w:lvl>
    <w:lvl w:ilvl="1" w:tplc="236EA26E">
      <w:start w:val="1"/>
      <w:numFmt w:val="bullet"/>
      <w:lvlText w:val="o"/>
      <w:lvlJc w:val="left"/>
      <w:pPr>
        <w:ind w:left="1440" w:hanging="360"/>
      </w:pPr>
      <w:rPr>
        <w:rFonts w:ascii="Courier New" w:hAnsi="Courier New" w:hint="default"/>
      </w:rPr>
    </w:lvl>
    <w:lvl w:ilvl="2" w:tplc="D0CCDB3C">
      <w:start w:val="1"/>
      <w:numFmt w:val="bullet"/>
      <w:lvlText w:val=""/>
      <w:lvlJc w:val="left"/>
      <w:pPr>
        <w:ind w:left="2160" w:hanging="360"/>
      </w:pPr>
      <w:rPr>
        <w:rFonts w:ascii="Wingdings" w:hAnsi="Wingdings" w:hint="default"/>
      </w:rPr>
    </w:lvl>
    <w:lvl w:ilvl="3" w:tplc="17F2F440">
      <w:start w:val="1"/>
      <w:numFmt w:val="bullet"/>
      <w:lvlText w:val=""/>
      <w:lvlJc w:val="left"/>
      <w:pPr>
        <w:ind w:left="2880" w:hanging="360"/>
      </w:pPr>
      <w:rPr>
        <w:rFonts w:ascii="Symbol" w:hAnsi="Symbol" w:hint="default"/>
      </w:rPr>
    </w:lvl>
    <w:lvl w:ilvl="4" w:tplc="CF5C7CD8">
      <w:start w:val="1"/>
      <w:numFmt w:val="bullet"/>
      <w:lvlText w:val="o"/>
      <w:lvlJc w:val="left"/>
      <w:pPr>
        <w:ind w:left="3600" w:hanging="360"/>
      </w:pPr>
      <w:rPr>
        <w:rFonts w:ascii="Courier New" w:hAnsi="Courier New" w:hint="default"/>
      </w:rPr>
    </w:lvl>
    <w:lvl w:ilvl="5" w:tplc="D39236BE">
      <w:start w:val="1"/>
      <w:numFmt w:val="bullet"/>
      <w:lvlText w:val=""/>
      <w:lvlJc w:val="left"/>
      <w:pPr>
        <w:ind w:left="4320" w:hanging="360"/>
      </w:pPr>
      <w:rPr>
        <w:rFonts w:ascii="Wingdings" w:hAnsi="Wingdings" w:hint="default"/>
      </w:rPr>
    </w:lvl>
    <w:lvl w:ilvl="6" w:tplc="84ECF49C">
      <w:start w:val="1"/>
      <w:numFmt w:val="bullet"/>
      <w:lvlText w:val=""/>
      <w:lvlJc w:val="left"/>
      <w:pPr>
        <w:ind w:left="5040" w:hanging="360"/>
      </w:pPr>
      <w:rPr>
        <w:rFonts w:ascii="Symbol" w:hAnsi="Symbol" w:hint="default"/>
      </w:rPr>
    </w:lvl>
    <w:lvl w:ilvl="7" w:tplc="86224054">
      <w:start w:val="1"/>
      <w:numFmt w:val="bullet"/>
      <w:lvlText w:val="o"/>
      <w:lvlJc w:val="left"/>
      <w:pPr>
        <w:ind w:left="5760" w:hanging="360"/>
      </w:pPr>
      <w:rPr>
        <w:rFonts w:ascii="Courier New" w:hAnsi="Courier New" w:hint="default"/>
      </w:rPr>
    </w:lvl>
    <w:lvl w:ilvl="8" w:tplc="46FA35FA">
      <w:start w:val="1"/>
      <w:numFmt w:val="bullet"/>
      <w:lvlText w:val=""/>
      <w:lvlJc w:val="left"/>
      <w:pPr>
        <w:ind w:left="6480" w:hanging="360"/>
      </w:pPr>
      <w:rPr>
        <w:rFonts w:ascii="Wingdings" w:hAnsi="Wingdings" w:hint="default"/>
      </w:rPr>
    </w:lvl>
  </w:abstractNum>
  <w:abstractNum w:abstractNumId="4" w15:restartNumberingAfterBreak="0">
    <w:nsid w:val="7E8F06B7"/>
    <w:multiLevelType w:val="multilevel"/>
    <w:tmpl w:val="73E6D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9132524">
    <w:abstractNumId w:val="3"/>
  </w:num>
  <w:num w:numId="2" w16cid:durableId="228419344">
    <w:abstractNumId w:val="2"/>
  </w:num>
  <w:num w:numId="3" w16cid:durableId="501238977">
    <w:abstractNumId w:val="0"/>
  </w:num>
  <w:num w:numId="4" w16cid:durableId="419761951">
    <w:abstractNumId w:val="1"/>
  </w:num>
  <w:num w:numId="5" w16cid:durableId="1170632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850CA88"/>
    <w:rsid w:val="00010181"/>
    <w:rsid w:val="0002577A"/>
    <w:rsid w:val="0009750F"/>
    <w:rsid w:val="000C67FE"/>
    <w:rsid w:val="001B3295"/>
    <w:rsid w:val="001B7D04"/>
    <w:rsid w:val="002008C7"/>
    <w:rsid w:val="002764DD"/>
    <w:rsid w:val="00284F3F"/>
    <w:rsid w:val="002D2740"/>
    <w:rsid w:val="002F43B8"/>
    <w:rsid w:val="00380072"/>
    <w:rsid w:val="00387A0A"/>
    <w:rsid w:val="003A0857"/>
    <w:rsid w:val="00405EC9"/>
    <w:rsid w:val="00420915"/>
    <w:rsid w:val="00436F99"/>
    <w:rsid w:val="004960C8"/>
    <w:rsid w:val="004B7B3F"/>
    <w:rsid w:val="004C1ADB"/>
    <w:rsid w:val="004C4BFE"/>
    <w:rsid w:val="0052677B"/>
    <w:rsid w:val="005461D9"/>
    <w:rsid w:val="00570065"/>
    <w:rsid w:val="005B14E3"/>
    <w:rsid w:val="006067A8"/>
    <w:rsid w:val="006126F4"/>
    <w:rsid w:val="00683AD3"/>
    <w:rsid w:val="006A4FC3"/>
    <w:rsid w:val="006C48C3"/>
    <w:rsid w:val="006D11D1"/>
    <w:rsid w:val="006D3E2C"/>
    <w:rsid w:val="0071355F"/>
    <w:rsid w:val="0074404F"/>
    <w:rsid w:val="00772202"/>
    <w:rsid w:val="007947C0"/>
    <w:rsid w:val="007E01F4"/>
    <w:rsid w:val="008062C1"/>
    <w:rsid w:val="00872482"/>
    <w:rsid w:val="00896FEC"/>
    <w:rsid w:val="008A5989"/>
    <w:rsid w:val="008D15F9"/>
    <w:rsid w:val="009041A0"/>
    <w:rsid w:val="00BA3517"/>
    <w:rsid w:val="00BB1D4A"/>
    <w:rsid w:val="00BB7283"/>
    <w:rsid w:val="00C02740"/>
    <w:rsid w:val="00C52A03"/>
    <w:rsid w:val="00C5442C"/>
    <w:rsid w:val="00CA4CF3"/>
    <w:rsid w:val="00CC0E0F"/>
    <w:rsid w:val="00CC634D"/>
    <w:rsid w:val="00CE4389"/>
    <w:rsid w:val="00D37017"/>
    <w:rsid w:val="00DC6B55"/>
    <w:rsid w:val="00DD59B3"/>
    <w:rsid w:val="00EC0EBE"/>
    <w:rsid w:val="00EE4C80"/>
    <w:rsid w:val="00EE56CE"/>
    <w:rsid w:val="00F37F68"/>
    <w:rsid w:val="00F819B9"/>
    <w:rsid w:val="00F97368"/>
    <w:rsid w:val="00FB6043"/>
    <w:rsid w:val="00FD002A"/>
    <w:rsid w:val="01AF8E60"/>
    <w:rsid w:val="075C1F3B"/>
    <w:rsid w:val="0A7DE896"/>
    <w:rsid w:val="0B91C452"/>
    <w:rsid w:val="0D3310B6"/>
    <w:rsid w:val="1633C66E"/>
    <w:rsid w:val="1A99E734"/>
    <w:rsid w:val="1D8ACA6F"/>
    <w:rsid w:val="23666B7E"/>
    <w:rsid w:val="25CA3444"/>
    <w:rsid w:val="27470D7A"/>
    <w:rsid w:val="286DD777"/>
    <w:rsid w:val="335ADFF0"/>
    <w:rsid w:val="34B302CA"/>
    <w:rsid w:val="3850CA88"/>
    <w:rsid w:val="3CBC33CF"/>
    <w:rsid w:val="3DFE0C24"/>
    <w:rsid w:val="40FC4861"/>
    <w:rsid w:val="4C1302AE"/>
    <w:rsid w:val="50934EC1"/>
    <w:rsid w:val="51966EC5"/>
    <w:rsid w:val="5553575D"/>
    <w:rsid w:val="5CBF242E"/>
    <w:rsid w:val="5FCF1463"/>
    <w:rsid w:val="72FCEBF6"/>
    <w:rsid w:val="7D60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CA88"/>
  <w15:docId w15:val="{641E59D6-BBD1-4F01-ACF8-A3527732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09750F"/>
  </w:style>
  <w:style w:type="character" w:styleId="FollowedHyperlink">
    <w:name w:val="FollowedHyperlink"/>
    <w:basedOn w:val="DefaultParagraphFont"/>
    <w:uiPriority w:val="99"/>
    <w:semiHidden/>
    <w:unhideWhenUsed/>
    <w:rsid w:val="004C4BFE"/>
    <w:rPr>
      <w:color w:val="954F72" w:themeColor="followedHyperlink"/>
      <w:u w:val="single"/>
    </w:rPr>
  </w:style>
  <w:style w:type="character" w:customStyle="1" w:styleId="UnresolvedMention1">
    <w:name w:val="Unresolved Mention1"/>
    <w:basedOn w:val="DefaultParagraphFont"/>
    <w:uiPriority w:val="99"/>
    <w:semiHidden/>
    <w:unhideWhenUsed/>
    <w:rsid w:val="004C4BFE"/>
    <w:rPr>
      <w:color w:val="605E5C"/>
      <w:shd w:val="clear" w:color="auto" w:fill="E1DFDD"/>
    </w:rPr>
  </w:style>
  <w:style w:type="character" w:customStyle="1" w:styleId="Heading2Char">
    <w:name w:val="Heading 2 Char"/>
    <w:basedOn w:val="DefaultParagraphFont"/>
    <w:link w:val="Heading2"/>
    <w:uiPriority w:val="9"/>
    <w:rsid w:val="004C1ADB"/>
    <w:rPr>
      <w:rFonts w:ascii="Times New Roman" w:eastAsia="Times New Roman" w:hAnsi="Times New Roman" w:cs="Times New Roman"/>
      <w:b/>
      <w:bCs/>
      <w:sz w:val="36"/>
      <w:szCs w:val="36"/>
    </w:rPr>
  </w:style>
  <w:style w:type="character" w:customStyle="1" w:styleId="language">
    <w:name w:val="language"/>
    <w:basedOn w:val="DefaultParagraphFont"/>
    <w:rsid w:val="004C1ADB"/>
  </w:style>
  <w:style w:type="paragraph" w:styleId="HTMLPreformatted">
    <w:name w:val="HTML Preformatted"/>
    <w:basedOn w:val="Normal"/>
    <w:link w:val="HTMLPreformattedChar"/>
    <w:uiPriority w:val="99"/>
    <w:semiHidden/>
    <w:unhideWhenUsed/>
    <w:rsid w:val="004C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A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1ADB"/>
    <w:rPr>
      <w:rFonts w:ascii="Courier New" w:eastAsia="Times New Roman" w:hAnsi="Courier New" w:cs="Courier New"/>
      <w:sz w:val="20"/>
      <w:szCs w:val="20"/>
    </w:rPr>
  </w:style>
  <w:style w:type="character" w:customStyle="1" w:styleId="hljs-comment">
    <w:name w:val="hljs-comment"/>
    <w:basedOn w:val="DefaultParagraphFont"/>
    <w:rsid w:val="004C1ADB"/>
  </w:style>
  <w:style w:type="character" w:customStyle="1" w:styleId="hljs-keyword">
    <w:name w:val="hljs-keyword"/>
    <w:basedOn w:val="DefaultParagraphFont"/>
    <w:rsid w:val="004C1ADB"/>
  </w:style>
  <w:style w:type="paragraph" w:customStyle="1" w:styleId="alert-title">
    <w:name w:val="alert-title"/>
    <w:basedOn w:val="Normal"/>
    <w:rsid w:val="004C1A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C1A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571">
      <w:bodyDiv w:val="1"/>
      <w:marLeft w:val="0"/>
      <w:marRight w:val="0"/>
      <w:marTop w:val="0"/>
      <w:marBottom w:val="0"/>
      <w:divBdr>
        <w:top w:val="none" w:sz="0" w:space="0" w:color="auto"/>
        <w:left w:val="none" w:sz="0" w:space="0" w:color="auto"/>
        <w:bottom w:val="none" w:sz="0" w:space="0" w:color="auto"/>
        <w:right w:val="none" w:sz="0" w:space="0" w:color="auto"/>
      </w:divBdr>
      <w:divsChild>
        <w:div w:id="1936012463">
          <w:marLeft w:val="0"/>
          <w:marRight w:val="0"/>
          <w:marTop w:val="240"/>
          <w:marBottom w:val="0"/>
          <w:divBdr>
            <w:top w:val="none" w:sz="0" w:space="0" w:color="auto"/>
            <w:left w:val="none" w:sz="0" w:space="0" w:color="auto"/>
            <w:bottom w:val="none" w:sz="0" w:space="0" w:color="auto"/>
            <w:right w:val="none" w:sz="0" w:space="0" w:color="auto"/>
          </w:divBdr>
        </w:div>
        <w:div w:id="641154090">
          <w:marLeft w:val="0"/>
          <w:marRight w:val="0"/>
          <w:marTop w:val="240"/>
          <w:marBottom w:val="0"/>
          <w:divBdr>
            <w:top w:val="none" w:sz="0" w:space="0" w:color="auto"/>
            <w:left w:val="none" w:sz="0" w:space="0" w:color="auto"/>
            <w:bottom w:val="none" w:sz="0" w:space="0" w:color="auto"/>
            <w:right w:val="none" w:sz="0" w:space="0" w:color="auto"/>
          </w:divBdr>
        </w:div>
        <w:div w:id="862018905">
          <w:marLeft w:val="0"/>
          <w:marRight w:val="0"/>
          <w:marTop w:val="0"/>
          <w:marBottom w:val="0"/>
          <w:divBdr>
            <w:top w:val="none" w:sz="0" w:space="0" w:color="auto"/>
            <w:left w:val="none" w:sz="0" w:space="0" w:color="auto"/>
            <w:bottom w:val="none" w:sz="0" w:space="0" w:color="auto"/>
            <w:right w:val="none" w:sz="0" w:space="0" w:color="auto"/>
          </w:divBdr>
        </w:div>
        <w:div w:id="939532713">
          <w:marLeft w:val="0"/>
          <w:marRight w:val="0"/>
          <w:marTop w:val="0"/>
          <w:marBottom w:val="0"/>
          <w:divBdr>
            <w:top w:val="none" w:sz="0" w:space="0" w:color="auto"/>
            <w:left w:val="none" w:sz="0" w:space="0" w:color="auto"/>
            <w:bottom w:val="none" w:sz="0" w:space="0" w:color="auto"/>
            <w:right w:val="none" w:sz="0" w:space="0" w:color="auto"/>
          </w:divBdr>
        </w:div>
        <w:div w:id="1315454905">
          <w:marLeft w:val="0"/>
          <w:marRight w:val="0"/>
          <w:marTop w:val="0"/>
          <w:marBottom w:val="0"/>
          <w:divBdr>
            <w:top w:val="none" w:sz="0" w:space="0" w:color="auto"/>
            <w:left w:val="none" w:sz="0" w:space="0" w:color="auto"/>
            <w:bottom w:val="none" w:sz="0" w:space="0" w:color="auto"/>
            <w:right w:val="none" w:sz="0" w:space="0" w:color="auto"/>
          </w:divBdr>
        </w:div>
        <w:div w:id="1021660881">
          <w:marLeft w:val="0"/>
          <w:marRight w:val="0"/>
          <w:marTop w:val="0"/>
          <w:marBottom w:val="0"/>
          <w:divBdr>
            <w:top w:val="none" w:sz="0" w:space="0" w:color="auto"/>
            <w:left w:val="none" w:sz="0" w:space="0" w:color="auto"/>
            <w:bottom w:val="none" w:sz="0" w:space="0" w:color="auto"/>
            <w:right w:val="none" w:sz="0" w:space="0" w:color="auto"/>
          </w:divBdr>
        </w:div>
        <w:div w:id="953752331">
          <w:marLeft w:val="0"/>
          <w:marRight w:val="0"/>
          <w:marTop w:val="0"/>
          <w:marBottom w:val="0"/>
          <w:divBdr>
            <w:top w:val="none" w:sz="0" w:space="0" w:color="auto"/>
            <w:left w:val="none" w:sz="0" w:space="0" w:color="auto"/>
            <w:bottom w:val="none" w:sz="0" w:space="0" w:color="auto"/>
            <w:right w:val="none" w:sz="0" w:space="0" w:color="auto"/>
          </w:divBdr>
        </w:div>
        <w:div w:id="292910733">
          <w:marLeft w:val="0"/>
          <w:marRight w:val="0"/>
          <w:marTop w:val="0"/>
          <w:marBottom w:val="0"/>
          <w:divBdr>
            <w:top w:val="none" w:sz="0" w:space="0" w:color="auto"/>
            <w:left w:val="none" w:sz="0" w:space="0" w:color="auto"/>
            <w:bottom w:val="none" w:sz="0" w:space="0" w:color="auto"/>
            <w:right w:val="none" w:sz="0" w:space="0" w:color="auto"/>
          </w:divBdr>
        </w:div>
        <w:div w:id="1723287600">
          <w:marLeft w:val="0"/>
          <w:marRight w:val="0"/>
          <w:marTop w:val="0"/>
          <w:marBottom w:val="0"/>
          <w:divBdr>
            <w:top w:val="none" w:sz="0" w:space="0" w:color="auto"/>
            <w:left w:val="none" w:sz="0" w:space="0" w:color="auto"/>
            <w:bottom w:val="none" w:sz="0" w:space="0" w:color="auto"/>
            <w:right w:val="none" w:sz="0" w:space="0" w:color="auto"/>
          </w:divBdr>
        </w:div>
        <w:div w:id="1275166088">
          <w:marLeft w:val="0"/>
          <w:marRight w:val="0"/>
          <w:marTop w:val="0"/>
          <w:marBottom w:val="0"/>
          <w:divBdr>
            <w:top w:val="none" w:sz="0" w:space="0" w:color="auto"/>
            <w:left w:val="none" w:sz="0" w:space="0" w:color="auto"/>
            <w:bottom w:val="none" w:sz="0" w:space="0" w:color="auto"/>
            <w:right w:val="none" w:sz="0" w:space="0" w:color="auto"/>
          </w:divBdr>
        </w:div>
        <w:div w:id="170316550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Lerman</dc:creator>
  <cp:lastModifiedBy>Joseph Lerman</cp:lastModifiedBy>
  <cp:revision>6</cp:revision>
  <dcterms:created xsi:type="dcterms:W3CDTF">2022-08-06T15:45:00Z</dcterms:created>
  <dcterms:modified xsi:type="dcterms:W3CDTF">2022-08-06T15:52:00Z</dcterms:modified>
</cp:coreProperties>
</file>