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240.0" w:type="dxa"/>
              <w:left w:w="360.0" w:type="dxa"/>
              <w:bottom w:w="240.0" w:type="dxa"/>
              <w:right w:w="36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b8860b"/>
                <w:sz w:val="28"/>
                <w:szCs w:val="28"/>
                <w:rtl w:val="0"/>
              </w:rPr>
              <w:t xml:space="preserve">🧪 ALQUIMISTAS DE INTELIGENCIA ARTIFICIAL</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rFonts w:ascii="Arial" w:cs="Arial" w:eastAsia="Arial" w:hAnsi="Arial"/>
                <w:color w:val="cccccc"/>
                <w:sz w:val="18"/>
                <w:szCs w:val="18"/>
                <w:rtl w:val="0"/>
              </w:rPr>
              <w:t xml:space="preserve">Informe de Cierre de Programa · Febrero 2026</w:t>
            </w:r>
            <w:r w:rsidDel="00000000" w:rsidR="00000000" w:rsidRPr="00000000">
              <w:rPr>
                <w:rtl w:val="0"/>
              </w:rPr>
            </w:r>
          </w:p>
        </w:tc>
      </w:tr>
    </w:tbl>
    <w:p w:rsidR="00000000" w:rsidDel="00000000" w:rsidP="00000000" w:rsidRDefault="00000000" w:rsidRPr="00000000" w14:paraId="00000004">
      <w:pPr>
        <w:spacing w:after="2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e5e7eb" w:space="0" w:sz="4" w:val="single"/>
              <w:right w:color="000000" w:space="0" w:sz="0" w:val="nil"/>
            </w:tcBorders>
            <w:shd w:fill="fff8e7" w:val="clear"/>
            <w:tcMar>
              <w:top w:w="200.0" w:type="dxa"/>
              <w:left w:w="280.0" w:type="dxa"/>
              <w:bottom w:w="200.0" w:type="dxa"/>
              <w:right w:w="2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a1a2e"/>
                <w:sz w:val="28"/>
                <w:szCs w:val="28"/>
                <w:rtl w:val="0"/>
              </w:rPr>
              <w:t xml:space="preserve">75 Alquimistas encendieron su laboratorio.</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color w:val="1a1a2e"/>
                <w:sz w:val="22"/>
                <w:szCs w:val="22"/>
                <w:rtl w:val="0"/>
              </w:rPr>
              <w:t xml:space="preserve">Cuando comenzamos este programa, la pregunta real no era "¿cuántos se van a inscribir?" sino "¿cuántos se van a atrever a entrar al laboratorio?" La respuesta fue clara: 75 personas de su organización eligieron transformar la incertidumbre en competencia.</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i w:val="1"/>
                <w:iCs w:val="1"/>
                <w:color w:val="6b7280"/>
                <w:sz w:val="22"/>
                <w:szCs w:val="22"/>
                <w:rtl w:val="0"/>
              </w:rPr>
              <w:t xml:space="preserve">Este documento consolida el cierre del programa, el ajuste justo a su inversión y el punto de partida para lo que viene.</w:t>
            </w:r>
            <w:r w:rsidDel="00000000" w:rsidR="00000000" w:rsidRPr="00000000">
              <w:rPr>
                <w:rtl w:val="0"/>
              </w:rPr>
            </w:r>
          </w:p>
        </w:tc>
      </w:tr>
    </w:tbl>
    <w:p w:rsidR="00000000" w:rsidDel="00000000" w:rsidP="00000000" w:rsidRDefault="00000000" w:rsidRPr="00000000" w14:paraId="0000000A">
      <w:pPr>
        <w:spacing w:after="120" w:before="240" w:lineRule="auto"/>
        <w:rPr/>
      </w:pPr>
      <w:r w:rsidDel="00000000" w:rsidR="00000000" w:rsidRPr="00000000">
        <w:rPr>
          <w:rtl w:val="0"/>
        </w:rPr>
      </w:r>
    </w:p>
    <w:p w:rsidR="00000000" w:rsidDel="00000000" w:rsidP="00000000" w:rsidRDefault="00000000" w:rsidRPr="00000000" w14:paraId="0000000B">
      <w:pPr>
        <w:pBdr>
          <w:bottom w:color="b8860b" w:space="0" w:sz="4" w:val="single"/>
        </w:pBdr>
        <w:spacing w:after="200" w:before="200" w:lineRule="auto"/>
        <w:rPr/>
      </w:pPr>
      <w:r w:rsidDel="00000000" w:rsidR="00000000" w:rsidRPr="00000000">
        <w:rPr>
          <w:rtl w:val="0"/>
        </w:rPr>
      </w:r>
    </w:p>
    <w:p w:rsidR="00000000" w:rsidDel="00000000" w:rsidP="00000000" w:rsidRDefault="00000000" w:rsidRPr="00000000" w14:paraId="0000000C">
      <w:pPr>
        <w:spacing w:after="120" w:before="360" w:lineRule="auto"/>
        <w:rPr/>
      </w:pPr>
      <w:r w:rsidDel="00000000" w:rsidR="00000000" w:rsidRPr="00000000">
        <w:rPr>
          <w:rFonts w:ascii="Arial" w:cs="Arial" w:eastAsia="Arial" w:hAnsi="Arial"/>
          <w:b w:val="1"/>
          <w:bCs w:val="1"/>
          <w:color w:val="1a1a2e"/>
          <w:sz w:val="26"/>
          <w:szCs w:val="26"/>
          <w:rtl w:val="0"/>
        </w:rPr>
        <w:t xml:space="preserve">1. Lo que pasó en el laboratorio</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200.0" w:type="dxa"/>
              <w:left w:w="160.0" w:type="dxa"/>
              <w:bottom w:w="200.0" w:type="dxa"/>
              <w:right w:w="16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52"/>
                <w:szCs w:val="52"/>
                <w:rtl w:val="0"/>
              </w:rPr>
              <w:t xml:space="preserve">101</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aaaaaa"/>
                <w:sz w:val="18"/>
                <w:szCs w:val="18"/>
                <w:rtl w:val="0"/>
              </w:rPr>
              <w:t xml:space="preserve">colaboradores proyectados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b8860b" w:val="clear"/>
            <w:tcMar>
              <w:top w:w="200.0" w:type="dxa"/>
              <w:left w:w="160.0" w:type="dxa"/>
              <w:bottom w:w="200.0" w:type="dxa"/>
              <w:right w:w="16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52"/>
                <w:szCs w:val="52"/>
                <w:rtl w:val="0"/>
              </w:rPr>
              <w:t xml:space="preserve">75</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ffffff"/>
                <w:sz w:val="18"/>
                <w:szCs w:val="18"/>
                <w:rtl w:val="0"/>
              </w:rPr>
              <w:t xml:space="preserve">Alquimistas activos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200.0" w:type="dxa"/>
              <w:left w:w="160.0" w:type="dxa"/>
              <w:bottom w:w="200.0" w:type="dxa"/>
              <w:right w:w="16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6b7280"/>
                <w:sz w:val="52"/>
                <w:szCs w:val="52"/>
                <w:rtl w:val="0"/>
              </w:rPr>
              <w:t xml:space="preserve">26</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6b7280"/>
                <w:sz w:val="18"/>
                <w:szCs w:val="18"/>
                <w:rtl w:val="0"/>
              </w:rPr>
              <w:t xml:space="preserve">sin actividad registrada</w:t>
            </w:r>
            <w:r w:rsidDel="00000000" w:rsidR="00000000" w:rsidRPr="00000000">
              <w:rPr>
                <w:rtl w:val="0"/>
              </w:rPr>
            </w:r>
          </w:p>
        </w:tc>
      </w:tr>
    </w:tbl>
    <w:p w:rsidR="00000000" w:rsidDel="00000000" w:rsidP="00000000" w:rsidRDefault="00000000" w:rsidRPr="00000000" w14:paraId="00000014">
      <w:pPr>
        <w:spacing w:after="80" w:before="160" w:lineRule="auto"/>
        <w:rPr/>
      </w:pP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color w:val="1a1a2e"/>
          <w:sz w:val="22"/>
          <w:szCs w:val="22"/>
          <w:rtl w:val="0"/>
        </w:rPr>
        <w:t xml:space="preserve">El monitoreo de actividad en nuestra plataforma Classroom permitió identificar con precisión qué colaboradores realizaron el proceso de acceso y completaron las interacciones del programa. Los 26 perfiles sin actividad nunca registraron entrada ni interacción en el aula virtual. El detalle completo se incluye en el Anexo al final de este documento.</w:t>
      </w:r>
      <w:r w:rsidDel="00000000" w:rsidR="00000000" w:rsidRPr="00000000">
        <w:rPr>
          <w:rtl w:val="0"/>
        </w:rPr>
      </w:r>
    </w:p>
    <w:p w:rsidR="00000000" w:rsidDel="00000000" w:rsidP="00000000" w:rsidRDefault="00000000" w:rsidRPr="00000000" w14:paraId="00000016">
      <w:pPr>
        <w:spacing w:after="120" w:before="120" w:lineRule="auto"/>
        <w:rPr/>
      </w:pPr>
      <w:r w:rsidDel="00000000" w:rsidR="00000000" w:rsidRPr="00000000">
        <w:rPr>
          <w:rtl w:val="0"/>
        </w:rPr>
      </w:r>
    </w:p>
    <w:p w:rsidR="00000000" w:rsidDel="00000000" w:rsidP="00000000" w:rsidRDefault="00000000" w:rsidRPr="00000000" w14:paraId="00000017">
      <w:pPr>
        <w:pBdr>
          <w:bottom w:color="4a4e8a" w:space="0" w:sz="4" w:val="single"/>
        </w:pBdr>
        <w:spacing w:after="200" w:before="200" w:lineRule="auto"/>
        <w:rPr/>
      </w:pPr>
      <w:r w:rsidDel="00000000" w:rsidR="00000000" w:rsidRPr="00000000">
        <w:rPr>
          <w:rtl w:val="0"/>
        </w:rPr>
      </w:r>
    </w:p>
    <w:p w:rsidR="00000000" w:rsidDel="00000000" w:rsidP="00000000" w:rsidRDefault="00000000" w:rsidRPr="00000000" w14:paraId="00000018">
      <w:pPr>
        <w:spacing w:after="120" w:before="360" w:lineRule="auto"/>
        <w:rPr/>
      </w:pPr>
      <w:r w:rsidDel="00000000" w:rsidR="00000000" w:rsidRPr="00000000">
        <w:rPr>
          <w:rFonts w:ascii="Arial" w:cs="Arial" w:eastAsia="Arial" w:hAnsi="Arial"/>
          <w:b w:val="1"/>
          <w:bCs w:val="1"/>
          <w:color w:val="1a1a2e"/>
          <w:sz w:val="26"/>
          <w:szCs w:val="26"/>
          <w:rtl w:val="0"/>
        </w:rPr>
        <w:t xml:space="preserve">2. Ajuste de inversión: lo justo es lo justo</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1a1a2e"/>
          <w:sz w:val="22"/>
          <w:szCs w:val="22"/>
          <w:rtl w:val="0"/>
        </w:rPr>
        <w:t xml:space="preserve">Nuestra política es simple: cobramos por lo que se usa. No por lo que se proyecta, no por lo que se contrató en papel. Por eso hemos aplicado automáticamente la bonificación correspondiente a las 26 licencias no utilizadas, sin que usted tenga que solicitarla.</w:t>
      </w:r>
      <w:r w:rsidDel="00000000" w:rsidR="00000000" w:rsidRPr="00000000">
        <w:rPr>
          <w:rtl w:val="0"/>
        </w:rPr>
      </w:r>
    </w:p>
    <w:p w:rsidR="00000000" w:rsidDel="00000000" w:rsidP="00000000" w:rsidRDefault="00000000" w:rsidRPr="00000000" w14:paraId="0000001B">
      <w:pPr>
        <w:spacing w:after="8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6b7280"/>
                <w:sz w:val="22"/>
                <w:szCs w:val="22"/>
                <w:rtl w:val="0"/>
              </w:rPr>
              <w:t xml:space="preserve">Costo unitario por participante (+ IVA)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80.0" w:type="dxa"/>
              <w:bottom w:w="80.0" w:type="dxa"/>
              <w:right w:w="160.0" w:type="dxa"/>
            </w:tcMar>
          </w:tcPr>
          <w:p w:rsidR="00000000" w:rsidDel="00000000" w:rsidP="00000000" w:rsidRDefault="00000000" w:rsidRPr="00000000" w14:paraId="0000001D">
            <w:pPr>
              <w:jc w:val="right"/>
              <w:rPr/>
            </w:pPr>
            <w:r w:rsidDel="00000000" w:rsidR="00000000" w:rsidRPr="00000000">
              <w:rPr>
                <w:rFonts w:ascii="Arial" w:cs="Arial" w:eastAsia="Arial" w:hAnsi="Arial"/>
                <w:b w:val="0"/>
                <w:bCs w:val="0"/>
                <w:color w:val="6b7280"/>
                <w:sz w:val="22"/>
                <w:szCs w:val="22"/>
                <w:rtl w:val="0"/>
              </w:rPr>
              <w:t xml:space="preserve">$2,700.00 MXN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6b7280"/>
                <w:sz w:val="22"/>
                <w:szCs w:val="22"/>
                <w:rtl w:val="0"/>
              </w:rPr>
              <w:t xml:space="preserve">Participantes con acceso efectivo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80.0" w:type="dxa"/>
              <w:bottom w:w="80.0" w:type="dxa"/>
              <w:right w:w="160.0" w:type="dxa"/>
            </w:tcMar>
          </w:tcPr>
          <w:p w:rsidR="00000000" w:rsidDel="00000000" w:rsidP="00000000" w:rsidRDefault="00000000" w:rsidRPr="00000000" w14:paraId="0000001F">
            <w:pPr>
              <w:jc w:val="right"/>
              <w:rPr/>
            </w:pPr>
            <w:r w:rsidDel="00000000" w:rsidR="00000000" w:rsidRPr="00000000">
              <w:rPr>
                <w:rFonts w:ascii="Arial" w:cs="Arial" w:eastAsia="Arial" w:hAnsi="Arial"/>
                <w:b w:val="0"/>
                <w:bCs w:val="0"/>
                <w:color w:val="6b7280"/>
                <w:sz w:val="22"/>
                <w:szCs w:val="22"/>
                <w:rtl w:val="0"/>
              </w:rPr>
              <w:t xml:space="preserve">75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6b7280"/>
                <w:sz w:val="22"/>
                <w:szCs w:val="22"/>
                <w:rtl w:val="0"/>
              </w:rPr>
              <w:t xml:space="preserve">Subtotal (sin IVA)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80.0" w:type="dxa"/>
              <w:bottom w:w="80.0" w:type="dxa"/>
              <w:right w:w="160.0" w:type="dxa"/>
            </w:tcMar>
          </w:tcPr>
          <w:p w:rsidR="00000000" w:rsidDel="00000000" w:rsidP="00000000" w:rsidRDefault="00000000" w:rsidRPr="00000000" w14:paraId="00000021">
            <w:pPr>
              <w:jc w:val="right"/>
              <w:rPr/>
            </w:pPr>
            <w:r w:rsidDel="00000000" w:rsidR="00000000" w:rsidRPr="00000000">
              <w:rPr>
                <w:rFonts w:ascii="Arial" w:cs="Arial" w:eastAsia="Arial" w:hAnsi="Arial"/>
                <w:b w:val="0"/>
                <w:bCs w:val="0"/>
                <w:color w:val="6b7280"/>
                <w:sz w:val="22"/>
                <w:szCs w:val="22"/>
                <w:rtl w:val="0"/>
              </w:rPr>
              <w:t xml:space="preserve">$202,500.00 MXN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6b7280"/>
                <w:sz w:val="22"/>
                <w:szCs w:val="22"/>
                <w:rtl w:val="0"/>
              </w:rPr>
              <w:t xml:space="preserve">IVA (16%)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80.0" w:type="dxa"/>
              <w:bottom w:w="80.0" w:type="dxa"/>
              <w:right w:w="160.0" w:type="dxa"/>
            </w:tcMar>
          </w:tcPr>
          <w:p w:rsidR="00000000" w:rsidDel="00000000" w:rsidP="00000000" w:rsidRDefault="00000000" w:rsidRPr="00000000" w14:paraId="00000023">
            <w:pPr>
              <w:jc w:val="right"/>
              <w:rPr/>
            </w:pPr>
            <w:r w:rsidDel="00000000" w:rsidR="00000000" w:rsidRPr="00000000">
              <w:rPr>
                <w:rFonts w:ascii="Arial" w:cs="Arial" w:eastAsia="Arial" w:hAnsi="Arial"/>
                <w:b w:val="0"/>
                <w:bCs w:val="0"/>
                <w:color w:val="6b7280"/>
                <w:sz w:val="22"/>
                <w:szCs w:val="22"/>
                <w:rtl w:val="0"/>
              </w:rPr>
              <w:t xml:space="preserve">$32,400.00 MXN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60.0" w:type="dxa"/>
              <w:bottom w:w="8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6b7280"/>
                <w:sz w:val="22"/>
                <w:szCs w:val="22"/>
                <w:rtl w:val="0"/>
              </w:rPr>
              <w:t xml:space="preserve">Bonificación aplicada — 26 licencias no utilizadas (+ IVA)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80.0" w:type="dxa"/>
              <w:bottom w:w="80.0" w:type="dxa"/>
              <w:right w:w="160.0" w:type="dxa"/>
            </w:tcMar>
          </w:tcPr>
          <w:p w:rsidR="00000000" w:rsidDel="00000000" w:rsidP="00000000" w:rsidRDefault="00000000" w:rsidRPr="00000000" w14:paraId="00000025">
            <w:pPr>
              <w:jc w:val="right"/>
              <w:rPr/>
            </w:pPr>
            <w:r w:rsidDel="00000000" w:rsidR="00000000" w:rsidRPr="00000000">
              <w:rPr>
                <w:rFonts w:ascii="Arial" w:cs="Arial" w:eastAsia="Arial" w:hAnsi="Arial"/>
                <w:b w:val="0"/>
                <w:bCs w:val="0"/>
                <w:color w:val="6b7280"/>
                <w:sz w:val="22"/>
                <w:szCs w:val="22"/>
                <w:rtl w:val="0"/>
              </w:rPr>
              <w:t xml:space="preserve">- $70,200.00 MXN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8e7" w:val="clear"/>
            <w:tcMar>
              <w:top w:w="80.0" w:type="dxa"/>
              <w:left w:w="160.0" w:type="dxa"/>
              <w:bottom w:w="8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a1a2e"/>
                <w:sz w:val="24"/>
                <w:szCs w:val="24"/>
                <w:rtl w:val="0"/>
              </w:rPr>
              <w:t xml:space="preserve">MONTO TOTAL A LIQUIDAR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8e7" w:val="clear"/>
            <w:tcMar>
              <w:top w:w="80.0" w:type="dxa"/>
              <w:left w:w="80.0" w:type="dxa"/>
              <w:bottom w:w="80.0" w:type="dxa"/>
              <w:right w:w="160.0" w:type="dxa"/>
            </w:tcMar>
          </w:tcPr>
          <w:p w:rsidR="00000000" w:rsidDel="00000000" w:rsidP="00000000" w:rsidRDefault="00000000" w:rsidRPr="00000000" w14:paraId="00000027">
            <w:pPr>
              <w:jc w:val="right"/>
              <w:rPr/>
            </w:pPr>
            <w:r w:rsidDel="00000000" w:rsidR="00000000" w:rsidRPr="00000000">
              <w:rPr>
                <w:rFonts w:ascii="Arial" w:cs="Arial" w:eastAsia="Arial" w:hAnsi="Arial"/>
                <w:b w:val="1"/>
                <w:bCs w:val="1"/>
                <w:color w:val="b8860b"/>
                <w:sz w:val="24"/>
                <w:szCs w:val="24"/>
                <w:rtl w:val="0"/>
              </w:rPr>
              <w:t xml:space="preserve">$234,900.00 MXN</w:t>
            </w:r>
            <w:r w:rsidDel="00000000" w:rsidR="00000000" w:rsidRPr="00000000">
              <w:rPr>
                <w:rtl w:val="0"/>
              </w:rPr>
            </w:r>
          </w:p>
        </w:tc>
      </w:tr>
    </w:tbl>
    <w:p w:rsidR="00000000" w:rsidDel="00000000" w:rsidP="00000000" w:rsidRDefault="00000000" w:rsidRPr="00000000" w14:paraId="00000028">
      <w:pPr>
        <w:spacing w:after="80" w:before="12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i w:val="1"/>
          <w:iCs w:val="1"/>
          <w:color w:val="6b7280"/>
          <w:sz w:val="22"/>
          <w:szCs w:val="22"/>
          <w:rtl w:val="0"/>
        </w:rPr>
        <w:t xml:space="preserve">La bonificación ya está aplicada en el monto final. No se requiere ninguna gestión adicional de su parte.</w:t>
      </w: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tl w:val="0"/>
        </w:rPr>
      </w:r>
    </w:p>
    <w:p w:rsidR="00000000" w:rsidDel="00000000" w:rsidP="00000000" w:rsidRDefault="00000000" w:rsidRPr="00000000" w14:paraId="0000002B">
      <w:pPr>
        <w:pBdr>
          <w:bottom w:color="b8860b" w:space="0" w:sz="4" w:val="single"/>
        </w:pBdr>
        <w:spacing w:after="200" w:before="200" w:lineRule="auto"/>
        <w:rPr/>
      </w:pPr>
      <w:r w:rsidDel="00000000" w:rsidR="00000000" w:rsidRPr="00000000">
        <w:rPr>
          <w:rtl w:val="0"/>
        </w:rPr>
      </w:r>
    </w:p>
    <w:p w:rsidR="00000000" w:rsidDel="00000000" w:rsidP="00000000" w:rsidRDefault="00000000" w:rsidRPr="00000000" w14:paraId="0000002C">
      <w:pPr>
        <w:spacing w:after="120" w:before="360" w:lineRule="auto"/>
        <w:rPr/>
      </w:pPr>
      <w:r w:rsidDel="00000000" w:rsidR="00000000" w:rsidRPr="00000000">
        <w:rPr>
          <w:rFonts w:ascii="Arial" w:cs="Arial" w:eastAsia="Arial" w:hAnsi="Arial"/>
          <w:b w:val="1"/>
          <w:bCs w:val="1"/>
          <w:color w:val="1a1a2e"/>
          <w:sz w:val="26"/>
          <w:szCs w:val="26"/>
          <w:rtl w:val="0"/>
        </w:rPr>
        <w:t xml:space="preserve">3. Esto fue el primer paso, no el destino</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1a1a2e"/>
          <w:sz w:val="22"/>
          <w:szCs w:val="22"/>
          <w:rtl w:val="0"/>
        </w:rPr>
        <w:t xml:space="preserve">Los 75 Alquimistas que completaron el programa ahora tienen algo que no existía antes: una relación funcional con la inteligencia artificial. No como observadores de una tecnología lejana, sino como operadores que saben cómo hacer preguntas mejores, construir flujos de trabajo y tomar decisiones asistidas por IA.</w:t>
      </w:r>
      <w:r w:rsidDel="00000000" w:rsidR="00000000" w:rsidRPr="00000000">
        <w:rPr>
          <w:rtl w:val="0"/>
        </w:rPr>
      </w:r>
    </w:p>
    <w:p w:rsidR="00000000" w:rsidDel="00000000" w:rsidP="00000000" w:rsidRDefault="00000000" w:rsidRPr="00000000" w14:paraId="0000002F">
      <w:pPr>
        <w:spacing w:after="80" w:before="10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1a1a2e"/>
          <w:sz w:val="22"/>
          <w:szCs w:val="22"/>
          <w:rtl w:val="0"/>
        </w:rPr>
        <w:t xml:space="preserve">La ventaja competitiva real, sin embargo, no está en haber tomado un curso. Está en la práctica continua. Los equipos que consolidan estas habilidades en los siguientes 90 días son los que transforman el aprendizaje en resultados medibles.</w:t>
      </w:r>
      <w:r w:rsidDel="00000000" w:rsidR="00000000" w:rsidRPr="00000000">
        <w:rPr>
          <w:rtl w:val="0"/>
        </w:rPr>
      </w:r>
    </w:p>
    <w:p w:rsidR="00000000" w:rsidDel="00000000" w:rsidP="00000000" w:rsidRDefault="00000000" w:rsidRPr="00000000" w14:paraId="00000031">
      <w:pPr>
        <w:spacing w:after="8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8" w:val="single"/>
              <w:bottom w:color="000000" w:space="0" w:sz="0" w:val="nil"/>
              <w:right w:color="000000" w:space="0" w:sz="0" w:val="nil"/>
            </w:tcBorders>
            <w:shd w:fill="ffffff" w:val="clear"/>
            <w:tcMar>
              <w:top w:w="120.0" w:type="dxa"/>
              <w:left w:w="280.0" w:type="dxa"/>
              <w:bottom w:w="120.0" w:type="dxa"/>
              <w:right w:w="2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a1a2e"/>
                <w:sz w:val="22"/>
                <w:szCs w:val="22"/>
                <w:rtl w:val="0"/>
              </w:rPr>
              <w:t xml:space="preserve">Cuando esté listo para el siguiente nivel, estamos aquí.</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color w:val="6b7280"/>
                <w:sz w:val="22"/>
                <w:szCs w:val="22"/>
                <w:rtl w:val="0"/>
              </w:rPr>
              <w:t xml:space="preserve">Tenemos módulos de especialización en automatización, análisis de datos con IA y estrategia de prompts avanzada para equipos que ya tienen las bases. La transformación digital de su organización no termina aquí — apenas encontró su punto de arranque.</w:t>
            </w:r>
            <w:r w:rsidDel="00000000" w:rsidR="00000000" w:rsidRPr="00000000">
              <w:rPr>
                <w:rtl w:val="0"/>
              </w:rPr>
            </w:r>
          </w:p>
        </w:tc>
      </w:tr>
    </w:tbl>
    <w:p w:rsidR="00000000" w:rsidDel="00000000" w:rsidP="00000000" w:rsidRDefault="00000000" w:rsidRPr="00000000" w14:paraId="00000035">
      <w:pPr>
        <w:spacing w:after="120" w:before="200" w:lineRule="auto"/>
        <w:rPr/>
      </w:pPr>
      <w:r w:rsidDel="00000000" w:rsidR="00000000" w:rsidRPr="00000000">
        <w:rPr>
          <w:rtl w:val="0"/>
        </w:rPr>
      </w:r>
    </w:p>
    <w:p w:rsidR="00000000" w:rsidDel="00000000" w:rsidP="00000000" w:rsidRDefault="00000000" w:rsidRPr="00000000" w14:paraId="00000036">
      <w:pPr>
        <w:pBdr>
          <w:bottom w:color="b8860b" w:space="0" w:sz="4" w:val="single"/>
        </w:pBdr>
        <w:spacing w:after="200"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280.0" w:type="dxa"/>
              <w:left w:w="360.0" w:type="dxa"/>
              <w:bottom w:w="280.0" w:type="dxa"/>
              <w:right w:w="36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4"/>
                <w:szCs w:val="24"/>
                <w:rtl w:val="0"/>
              </w:rPr>
              <w:t xml:space="preserve">Ha sido un verdadero honor trabajar con su organización.</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color w:val="cccccc"/>
                <w:sz w:val="20"/>
                <w:szCs w:val="20"/>
                <w:rtl w:val="0"/>
              </w:rPr>
              <w:t xml:space="preserve">El sector de eventos masivos tiene algo que pocas industrias tienen: la capacidad de crear momentos que las personas recuerdan para siempre. Con IA como parte de su arsenal, esos momentos pueden ser más precisos, más personalizados y más rentables.</w:t>
            </w:r>
            <w:r w:rsidDel="00000000" w:rsidR="00000000" w:rsidRPr="00000000">
              <w:rPr>
                <w:rtl w:val="0"/>
              </w:rPr>
            </w:r>
          </w:p>
          <w:p w:rsidR="00000000" w:rsidDel="00000000" w:rsidP="00000000" w:rsidRDefault="00000000" w:rsidRPr="00000000" w14:paraId="0000003A">
            <w:pPr>
              <w:spacing w:after="80" w:before="12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4"/>
                <w:szCs w:val="24"/>
                <w:rtl w:val="0"/>
              </w:rPr>
              <w:t xml:space="preserve">Rudy Laddaga</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color w:val="b8860b"/>
                <w:sz w:val="20"/>
                <w:szCs w:val="20"/>
                <w:rtl w:val="0"/>
              </w:rPr>
              <w:t xml:space="preserve">Founder &amp; CEO — Gnius Academy</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color w:val="888888"/>
                <w:sz w:val="18"/>
                <w:szCs w:val="18"/>
                <w:rtl w:val="0"/>
              </w:rPr>
              <w:t xml:space="preserve">alquimistas.gnius.club</w:t>
            </w:r>
            <w:r w:rsidDel="00000000" w:rsidR="00000000" w:rsidRPr="00000000">
              <w:rPr>
                <w:rtl w:val="0"/>
              </w:rPr>
            </w:r>
          </w:p>
        </w:tc>
      </w:tr>
    </w:tbl>
    <w:p w:rsidR="00000000" w:rsidDel="00000000" w:rsidP="00000000" w:rsidRDefault="00000000" w:rsidRPr="00000000" w14:paraId="0000003E">
      <w:pPr>
        <w:pageBreakBefore w:val="1"/>
        <w:rPr/>
      </w:pPr>
      <w:r w:rsidDel="00000000" w:rsidR="00000000" w:rsidRPr="00000000">
        <w:rPr>
          <w:rtl w:val="0"/>
        </w:rPr>
      </w:r>
    </w:p>
    <w:p w:rsidR="00000000" w:rsidDel="00000000" w:rsidP="00000000" w:rsidRDefault="00000000" w:rsidRPr="00000000" w14:paraId="0000003F">
      <w:pPr>
        <w:spacing w:after="120" w:before="360" w:lineRule="auto"/>
        <w:rPr/>
      </w:pPr>
      <w:r w:rsidDel="00000000" w:rsidR="00000000" w:rsidRPr="00000000">
        <w:rPr>
          <w:rFonts w:ascii="Arial" w:cs="Arial" w:eastAsia="Arial" w:hAnsi="Arial"/>
          <w:b w:val="1"/>
          <w:bCs w:val="1"/>
          <w:color w:val="1a1a2e"/>
          <w:sz w:val="26"/>
          <w:szCs w:val="26"/>
          <w:rtl w:val="0"/>
        </w:rPr>
        <w:t xml:space="preserve">Anexo: Colaboradores sin actividad registrada</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color w:val="1a1a2e"/>
          <w:sz w:val="22"/>
          <w:szCs w:val="22"/>
          <w:rtl w:val="0"/>
        </w:rPr>
        <w:t xml:space="preserve">Los siguientes 26 perfiles no registraron acceso ni interacción en la plataforma durante el período del programa. Corresponden a las licencias bonificadas en el ajuste de inversión.</w:t>
      </w:r>
      <w:r w:rsidDel="00000000" w:rsidR="00000000" w:rsidRPr="00000000">
        <w:rPr>
          <w:rtl w:val="0"/>
        </w:rPr>
      </w:r>
    </w:p>
    <w:p w:rsidR="00000000" w:rsidDel="00000000" w:rsidP="00000000" w:rsidRDefault="00000000" w:rsidRPr="00000000" w14:paraId="00000042">
      <w:pPr>
        <w:spacing w:after="8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a1a2e" w:val="clear"/>
            <w:tcMar>
              <w:top w:w="80.0" w:type="dxa"/>
              <w:left w:w="120.0" w:type="dxa"/>
              <w:bottom w:w="8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a2e" w:val="clear"/>
            <w:tcMar>
              <w:top w:w="80.0" w:type="dxa"/>
              <w:left w:w="120.0" w:type="dxa"/>
              <w:bottom w:w="8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a1a2e" w:val="clear"/>
            <w:tcMar>
              <w:top w:w="80.0" w:type="dxa"/>
              <w:left w:w="120.0" w:type="dxa"/>
              <w:bottom w:w="8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8"/>
                <w:szCs w:val="18"/>
                <w:rtl w:val="0"/>
              </w:rPr>
              <w:t xml:space="preserve">Unidad de Negocio</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color w:val="6b7280"/>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color w:val="1a1a2e"/>
                <w:sz w:val="18"/>
                <w:szCs w:val="18"/>
                <w:rtl w:val="0"/>
              </w:rPr>
              <w:t xml:space="preserve">Paula Barron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color w:val="6b7280"/>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color w:val="1a1a2e"/>
                <w:sz w:val="18"/>
                <w:szCs w:val="18"/>
                <w:rtl w:val="0"/>
              </w:rPr>
              <w:t xml:space="preserve">Benjamin Calahorra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color w:val="6b7280"/>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color w:val="1a1a2e"/>
                <w:sz w:val="18"/>
                <w:szCs w:val="18"/>
                <w:rtl w:val="0"/>
              </w:rPr>
              <w:t xml:space="preserve">Carlos Corrales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color w:val="6b7280"/>
                <w:sz w:val="18"/>
                <w:szCs w:val="18"/>
                <w:rtl w:val="0"/>
              </w:rPr>
              <w:t xml:space="preserve">OCESA MKT 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color w:val="6b7280"/>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color w:val="1a1a2e"/>
                <w:sz w:val="18"/>
                <w:szCs w:val="18"/>
                <w:rtl w:val="0"/>
              </w:rPr>
              <w:t xml:space="preserve">Julio Escalante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color w:val="6b7280"/>
                <w:sz w:val="18"/>
                <w:szCs w:val="18"/>
                <w:rtl w:val="0"/>
              </w:rPr>
              <w:t xml:space="preserve">OCESA MKT 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6b7280"/>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18"/>
                <w:szCs w:val="18"/>
                <w:rtl w:val="0"/>
              </w:rPr>
              <w:t xml:space="preserve">Jair Flores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color w:val="6b7280"/>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18"/>
                <w:szCs w:val="18"/>
                <w:rtl w:val="0"/>
              </w:rPr>
              <w:t xml:space="preserve">Cesar Garces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color w:val="6b7280"/>
                <w:sz w:val="18"/>
                <w:szCs w:val="18"/>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18"/>
                <w:szCs w:val="18"/>
                <w:rtl w:val="0"/>
              </w:rPr>
              <w:t xml:space="preserve">Liliana Garcia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color w:val="6b7280"/>
                <w:sz w:val="18"/>
                <w:szCs w:val="18"/>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18"/>
                <w:szCs w:val="18"/>
                <w:rtl w:val="0"/>
              </w:rPr>
              <w:t xml:space="preserve">Tamara Gastelum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color w:val="6b7280"/>
                <w:sz w:val="18"/>
                <w:szCs w:val="18"/>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18"/>
                <w:szCs w:val="18"/>
                <w:rtl w:val="0"/>
              </w:rPr>
              <w:t xml:space="preserve">Monserrat Gomez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color w:val="6b7280"/>
                <w:sz w:val="18"/>
                <w:szCs w:val="18"/>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18"/>
                <w:szCs w:val="18"/>
                <w:rtl w:val="0"/>
              </w:rPr>
              <w:t xml:space="preserve">Mariana Gonzalez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color w:val="6b7280"/>
                <w:sz w:val="18"/>
                <w:szCs w:val="18"/>
                <w:rtl w:val="0"/>
              </w:rPr>
              <w:t xml:space="preserve">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1a1a2e"/>
                <w:sz w:val="18"/>
                <w:szCs w:val="18"/>
                <w:rtl w:val="0"/>
              </w:rPr>
              <w:t xml:space="preserve">Brenda Hernandez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color w:val="6b7280"/>
                <w:sz w:val="18"/>
                <w:szCs w:val="18"/>
                <w:rtl w:val="0"/>
              </w:rPr>
              <w:t xml:space="preserve">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color w:val="1a1a2e"/>
                <w:sz w:val="18"/>
                <w:szCs w:val="18"/>
                <w:rtl w:val="0"/>
              </w:rPr>
              <w:t xml:space="preserve">Victor Alfonso Herrera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color w:val="6b7280"/>
                <w:sz w:val="18"/>
                <w:szCs w:val="18"/>
                <w:rtl w:val="0"/>
              </w:rPr>
              <w:t xml:space="preserve">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18"/>
                <w:szCs w:val="18"/>
                <w:rtl w:val="0"/>
              </w:rPr>
              <w:t xml:space="preserve">Maria Jose Loredo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color w:val="6b7280"/>
                <w:sz w:val="18"/>
                <w:szCs w:val="18"/>
                <w:rtl w:val="0"/>
              </w:rPr>
              <w:t xml:space="preserve">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18"/>
                <w:szCs w:val="18"/>
                <w:rtl w:val="0"/>
              </w:rPr>
              <w:t xml:space="preserve">Ariadna Lugo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color w:val="6b7280"/>
                <w:sz w:val="18"/>
                <w:szCs w:val="18"/>
                <w:rtl w:val="0"/>
              </w:rPr>
              <w:t xml:space="preserve">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color w:val="1a1a2e"/>
                <w:sz w:val="18"/>
                <w:szCs w:val="18"/>
                <w:rtl w:val="0"/>
              </w:rPr>
              <w:t xml:space="preserve">Angel Luna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color w:val="6b7280"/>
                <w:sz w:val="18"/>
                <w:szCs w:val="18"/>
                <w:rtl w:val="0"/>
              </w:rPr>
              <w:t xml:space="preserve">BNN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color w:val="6b7280"/>
                <w:sz w:val="18"/>
                <w:szCs w:val="18"/>
                <w:rtl w:val="0"/>
              </w:rPr>
              <w:t xml:space="preserve">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color w:val="1a1a2e"/>
                <w:sz w:val="18"/>
                <w:szCs w:val="18"/>
                <w:rtl w:val="0"/>
              </w:rPr>
              <w:t xml:space="preserve">Jose Miguel Morales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color w:val="6b7280"/>
                <w:sz w:val="18"/>
                <w:szCs w:val="18"/>
                <w:rtl w:val="0"/>
              </w:rPr>
              <w:t xml:space="preserve">17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18"/>
                <w:szCs w:val="18"/>
                <w:rtl w:val="0"/>
              </w:rPr>
              <w:t xml:space="preserve">Erick Mora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color w:val="6b7280"/>
                <w:sz w:val="18"/>
                <w:szCs w:val="18"/>
                <w:rtl w:val="0"/>
              </w:rPr>
              <w:t xml:space="preserve">OCESA MKT 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color w:val="6b7280"/>
                <w:sz w:val="18"/>
                <w:szCs w:val="18"/>
                <w:rtl w:val="0"/>
              </w:rPr>
              <w:t xml:space="preserve">18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18"/>
                <w:szCs w:val="18"/>
                <w:rtl w:val="0"/>
              </w:rPr>
              <w:t xml:space="preserve">Gabriel Moran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color w:val="6b7280"/>
                <w:sz w:val="18"/>
                <w:szCs w:val="18"/>
                <w:rtl w:val="0"/>
              </w:rPr>
              <w:t xml:space="preserve">19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18"/>
                <w:szCs w:val="18"/>
                <w:rtl w:val="0"/>
              </w:rPr>
              <w:t xml:space="preserve">Juan Padilla Torres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color w:val="6b7280"/>
                <w:sz w:val="18"/>
                <w:szCs w:val="18"/>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18"/>
                <w:szCs w:val="18"/>
                <w:rtl w:val="0"/>
              </w:rPr>
              <w:t xml:space="preserve">Guillermo Ramirez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color w:val="6b7280"/>
                <w:sz w:val="18"/>
                <w:szCs w:val="18"/>
                <w:rtl w:val="0"/>
              </w:rPr>
              <w:t xml:space="preserve">21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18"/>
                <w:szCs w:val="18"/>
                <w:rtl w:val="0"/>
              </w:rPr>
              <w:t xml:space="preserve">Oscar Ramirez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color w:val="6b7280"/>
                <w:sz w:val="18"/>
                <w:szCs w:val="18"/>
                <w:rtl w:val="0"/>
              </w:rPr>
              <w:t xml:space="preserve">BNN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color w:val="6b7280"/>
                <w:sz w:val="18"/>
                <w:szCs w:val="18"/>
                <w:rtl w:val="0"/>
              </w:rPr>
              <w:t xml:space="preserve">22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18"/>
                <w:szCs w:val="18"/>
                <w:rtl w:val="0"/>
              </w:rPr>
              <w:t xml:space="preserve">Daniel Reyes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color w:val="6b7280"/>
                <w:sz w:val="18"/>
                <w:szCs w:val="18"/>
                <w:rtl w:val="0"/>
              </w:rPr>
              <w:t xml:space="preserve">BNN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color w:val="6b7280"/>
                <w:sz w:val="18"/>
                <w:szCs w:val="18"/>
                <w:rtl w:val="0"/>
              </w:rPr>
              <w:t xml:space="preserve">23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color w:val="1a1a2e"/>
                <w:sz w:val="18"/>
                <w:szCs w:val="18"/>
                <w:rtl w:val="0"/>
              </w:rPr>
              <w:t xml:space="preserve">Paola Rodriguez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color w:val="6b7280"/>
                <w:sz w:val="18"/>
                <w:szCs w:val="18"/>
                <w:rtl w:val="0"/>
              </w:rPr>
              <w:t xml:space="preserve">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color w:val="6b7280"/>
                <w:sz w:val="18"/>
                <w:szCs w:val="18"/>
                <w:rtl w:val="0"/>
              </w:rPr>
              <w:t xml:space="preserve">24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18"/>
                <w:szCs w:val="18"/>
                <w:rtl w:val="0"/>
              </w:rPr>
              <w:t xml:space="preserve">Paulina Teja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color w:val="6b7280"/>
                <w:sz w:val="18"/>
                <w:szCs w:val="18"/>
                <w:rtl w:val="0"/>
              </w:rPr>
              <w:t xml:space="preserve">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color w:val="1a1a2e"/>
                <w:sz w:val="18"/>
                <w:szCs w:val="18"/>
                <w:rtl w:val="0"/>
              </w:rPr>
              <w:t xml:space="preserve">Ivonne Tolentino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60.0" w:type="dxa"/>
              <w:left w:w="120.0" w:type="dxa"/>
              <w:bottom w:w="6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color w:val="6b7280"/>
                <w:sz w:val="18"/>
                <w:szCs w:val="18"/>
                <w:rtl w:val="0"/>
              </w:rPr>
              <w:t xml:space="preserve">OCESA MKT 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color w:val="6b7280"/>
                <w:sz w:val="18"/>
                <w:szCs w:val="18"/>
                <w:rtl w:val="0"/>
              </w:rPr>
              <w:t xml:space="preserve">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color w:val="1a1a2e"/>
                <w:sz w:val="18"/>
                <w:szCs w:val="18"/>
                <w:rtl w:val="0"/>
              </w:rPr>
              <w:t xml:space="preserve">Alejandro Valdespino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60.0" w:type="dxa"/>
              <w:left w:w="120.0" w:type="dxa"/>
              <w:bottom w:w="6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color w:val="6b7280"/>
                <w:sz w:val="18"/>
                <w:szCs w:val="18"/>
                <w:rtl w:val="0"/>
              </w:rPr>
              <w:t xml:space="preserve">OCESA Operaciones Comerciales</w:t>
            </w:r>
            <w:r w:rsidDel="00000000" w:rsidR="00000000" w:rsidRPr="00000000">
              <w:rPr>
                <w:rtl w:val="0"/>
              </w:rPr>
            </w:r>
          </w:p>
        </w:tc>
      </w:tr>
    </w:tbl>
    <w:p w:rsidR="00000000" w:rsidDel="00000000" w:rsidP="00000000" w:rsidRDefault="00000000" w:rsidRPr="00000000" w14:paraId="00000094">
      <w:pPr>
        <w:spacing w:after="8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000000" w:space="0" w:sz="0" w:val="nil"/>
              <w:bottom w:color="000000" w:space="0" w:sz="0" w:val="nil"/>
              <w:right w:color="000000" w:space="0" w:sz="0" w:val="nil"/>
            </w:tcBorders>
            <w:shd w:fill="ffffff" w:val="clear"/>
            <w:tcMar>
              <w:top w:w="160.0" w:type="dxa"/>
              <w:left w:w="0.0" w:type="dxa"/>
              <w:bottom w:w="80.0" w:type="dxa"/>
              <w:right w:w="0.0" w:type="dxa"/>
            </w:tcMar>
          </w:tcPr>
          <w:p w:rsidR="00000000" w:rsidDel="00000000" w:rsidP="00000000" w:rsidRDefault="00000000" w:rsidRPr="00000000" w14:paraId="00000095">
            <w:pPr>
              <w:rPr/>
            </w:pPr>
            <w:r w:rsidDel="00000000" w:rsidR="00000000" w:rsidRPr="00000000">
              <w:rPr>
                <w:rFonts w:ascii="Arial" w:cs="Arial" w:eastAsia="Arial" w:hAnsi="Arial"/>
                <w:i w:val="1"/>
                <w:iCs w:val="1"/>
                <w:color w:val="6b7280"/>
                <w:sz w:val="18"/>
                <w:szCs w:val="18"/>
                <w:rtl w:val="0"/>
              </w:rPr>
              <w:t xml:space="preserve">Ciudad de México, Febrero 27, 2026  ·  Gnius Academy  ·  alquimistas.gnius.club</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