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B4B49" w14:textId="77777777" w:rsidR="0004475C" w:rsidRDefault="00000000">
      <w:pPr>
        <w:pStyle w:val="Heading1"/>
      </w:pPr>
      <w:bookmarkStart w:id="0" w:name="research-summary-flytbase-sentinel"/>
      <w:r>
        <w:t>Research Summary — FlytBase Sentinel</w:t>
      </w:r>
    </w:p>
    <w:p w14:paraId="6288D8DA" w14:textId="77777777" w:rsidR="0004475C" w:rsidRDefault="00000000">
      <w:r>
        <w:pict w14:anchorId="0DB9F085">
          <v:rect id="_x0000_i1025" style="width:0;height:1.5pt" o:hralign="center" o:hrstd="t" o:hr="t"/>
        </w:pict>
      </w:r>
    </w:p>
    <w:p w14:paraId="36F3FBFC" w14:textId="77777777" w:rsidR="0004475C" w:rsidRDefault="00000000">
      <w:pPr>
        <w:pStyle w:val="Heading2"/>
      </w:pPr>
      <w:bookmarkStart w:id="1" w:name="executive-summary"/>
      <w:r>
        <w:t>Executive Summary</w:t>
      </w:r>
    </w:p>
    <w:p w14:paraId="4916D5C0" w14:textId="77777777" w:rsidR="0004475C" w:rsidRDefault="00000000">
      <w:pPr>
        <w:pStyle w:val="FirstParagraph"/>
      </w:pPr>
      <w:r>
        <w:t xml:space="preserve">The primary bottleneck in emergency response is not drone speed or sensor quality, but </w:t>
      </w:r>
      <w:r>
        <w:rPr>
          <w:b/>
          <w:bCs/>
        </w:rPr>
        <w:t>human latency</w:t>
      </w:r>
      <w:r>
        <w:t xml:space="preserve"> created by interface friction. Research into cognitive load, alert fatigue, and human–AI trust shows that traditional multi-panel dashboards and pilot-centric controls increase hesitation under stress. FlytBase Sentinel inverts this model: the system proposes actions while the operator authorizes outcomes. This research demonstrates why an escalation-based, spatial, intent-driven interface is the correct response to the 90-second emergency window.</w:t>
      </w:r>
    </w:p>
    <w:p w14:paraId="0C131379" w14:textId="77777777" w:rsidR="0004475C" w:rsidRDefault="00000000">
      <w:r>
        <w:pict w14:anchorId="314CDE75">
          <v:rect id="_x0000_i1026" style="width:0;height:1.5pt" o:hralign="center" o:hrstd="t" o:hr="t"/>
        </w:pict>
      </w:r>
    </w:p>
    <w:p w14:paraId="52DED1F0" w14:textId="77777777" w:rsidR="0004475C" w:rsidRDefault="00000000">
      <w:pPr>
        <w:pStyle w:val="Heading2"/>
      </w:pPr>
      <w:bookmarkStart w:id="2" w:name="X086d0910226ecba9b7117f832750ff08fcb44b9"/>
      <w:bookmarkEnd w:id="1"/>
      <w:r>
        <w:t>1. Core Research Thesis: Human Latency, Not Hardware</w:t>
      </w:r>
    </w:p>
    <w:p w14:paraId="4928BAE1" w14:textId="77777777" w:rsidR="0004475C" w:rsidRDefault="00000000">
      <w:pPr>
        <w:pStyle w:val="Heading3"/>
      </w:pPr>
      <w:bookmarkStart w:id="3" w:name="observation"/>
      <w:r>
        <w:t>Observation</w:t>
      </w:r>
    </w:p>
    <w:p w14:paraId="3A9629A6" w14:textId="77777777" w:rsidR="0004475C" w:rsidRDefault="00000000">
      <w:pPr>
        <w:pStyle w:val="FirstParagraph"/>
      </w:pPr>
      <w:r>
        <w:t xml:space="preserve">Industry responses often attempt to reduce response time by improving hardware (faster drones, better cameras). However, analysis of the typical 48-minute response timeline shows that the majority of delay occurs during </w:t>
      </w:r>
      <w:r>
        <w:rPr>
          <w:b/>
          <w:bCs/>
        </w:rPr>
        <w:t>human verification, coordination, and handoff</w:t>
      </w:r>
      <w:r>
        <w:t>, not during autonomous flight.</w:t>
      </w:r>
    </w:p>
    <w:p w14:paraId="2DC88BF7" w14:textId="77777777" w:rsidR="0004475C" w:rsidRDefault="00000000">
      <w:pPr>
        <w:pStyle w:val="Heading3"/>
      </w:pPr>
      <w:bookmarkStart w:id="4" w:name="implication"/>
      <w:bookmarkEnd w:id="3"/>
      <w:r>
        <w:t>Implication</w:t>
      </w:r>
    </w:p>
    <w:p w14:paraId="01AE413A" w14:textId="77777777" w:rsidR="0004475C" w:rsidRDefault="00000000">
      <w:pPr>
        <w:pStyle w:val="FirstParagraph"/>
      </w:pPr>
      <w:r>
        <w:t xml:space="preserve">To reach a 90-second response, the interface must remove the operator from low-level control loops and instead support </w:t>
      </w:r>
      <w:r>
        <w:rPr>
          <w:b/>
          <w:bCs/>
        </w:rPr>
        <w:t>fast strategic authorization</w:t>
      </w:r>
      <w:r>
        <w:t>.</w:t>
      </w:r>
    </w:p>
    <w:p w14:paraId="1508EDEB" w14:textId="77777777" w:rsidR="0004475C" w:rsidRDefault="00000000">
      <w:pPr>
        <w:pStyle w:val="BodyText"/>
      </w:pPr>
      <w:r>
        <w:rPr>
          <w:b/>
          <w:bCs/>
        </w:rPr>
        <w:t>Design Justification:</w:t>
      </w:r>
      <w:r>
        <w:t xml:space="preserve"> Replace manual piloting and multi-feed monitoring with a single decision surface where AI proposes actions and the human confirms intent.</w:t>
      </w:r>
    </w:p>
    <w:p w14:paraId="129C0B6C" w14:textId="77777777" w:rsidR="0004475C" w:rsidRDefault="00000000">
      <w:r>
        <w:pict w14:anchorId="6CFEF48F">
          <v:rect id="_x0000_i1027" style="width:0;height:1.5pt" o:hralign="center" o:hrstd="t" o:hr="t"/>
        </w:pict>
      </w:r>
    </w:p>
    <w:p w14:paraId="076ED773" w14:textId="77777777" w:rsidR="0004475C" w:rsidRDefault="00000000">
      <w:pPr>
        <w:pStyle w:val="Heading2"/>
      </w:pPr>
      <w:bookmarkStart w:id="5" w:name="X7e40e5e9893e01ba6f3fe2051db76c8d866988a"/>
      <w:bookmarkEnd w:id="2"/>
      <w:bookmarkEnd w:id="4"/>
      <w:r>
        <w:t>2. Cognitive Load Under Stress: Why Simpler Is Faster</w:t>
      </w:r>
    </w:p>
    <w:p w14:paraId="424C0682" w14:textId="77777777" w:rsidR="0004475C" w:rsidRDefault="00000000">
      <w:pPr>
        <w:pStyle w:val="Heading3"/>
      </w:pPr>
      <w:bookmarkStart w:id="6" w:name="evidence"/>
      <w:r>
        <w:t>Evidence</w:t>
      </w:r>
    </w:p>
    <w:p w14:paraId="79A277C0" w14:textId="77777777" w:rsidR="0004475C" w:rsidRDefault="00000000">
      <w:pPr>
        <w:pStyle w:val="FirstParagraph"/>
      </w:pPr>
      <w:r>
        <w:t xml:space="preserve">Under acute stress and time pressure, operators experience </w:t>
      </w:r>
      <w:r>
        <w:rPr>
          <w:b/>
          <w:bCs/>
        </w:rPr>
        <w:t>cognitive tunneling</w:t>
      </w:r>
      <w:r>
        <w:t>—attention narrows and analytical reasoning degrades. Dense dashboards, lists, and telemetry increase fixation and delay decisions.</w:t>
      </w:r>
    </w:p>
    <w:p w14:paraId="68D8E860" w14:textId="77777777" w:rsidR="0004475C" w:rsidRDefault="00000000">
      <w:pPr>
        <w:pStyle w:val="Heading3"/>
      </w:pPr>
      <w:bookmarkStart w:id="7" w:name="design-implication"/>
      <w:bookmarkEnd w:id="6"/>
      <w:r>
        <w:t>Design Implication</w:t>
      </w:r>
    </w:p>
    <w:p w14:paraId="64578CCE" w14:textId="77777777" w:rsidR="0004475C" w:rsidRDefault="00000000">
      <w:pPr>
        <w:pStyle w:val="FirstParagraph"/>
      </w:pPr>
      <w:r>
        <w:t>The interface must present only one dominant decision at a time.</w:t>
      </w:r>
    </w:p>
    <w:p w14:paraId="0DC1A430" w14:textId="77777777" w:rsidR="0004475C" w:rsidRDefault="00000000">
      <w:pPr>
        <w:pStyle w:val="BodyText"/>
      </w:pPr>
      <w:r>
        <w:rPr>
          <w:b/>
          <w:bCs/>
        </w:rPr>
        <w:lastRenderedPageBreak/>
        <w:t>Applied Decision:</w:t>
      </w:r>
      <w:r>
        <w:t xml:space="preserve"> The SCAN → VERIFY → CONTAIN → RESCUE escalation ladder converts dozens of micro-decisions into one strategic choice, aligning with heuristic-based human decision-making.</w:t>
      </w:r>
    </w:p>
    <w:p w14:paraId="2020372D" w14:textId="0F685060" w:rsidR="00D15498" w:rsidRDefault="00D15498" w:rsidP="00D15498">
      <w:pPr>
        <w:pStyle w:val="Heading3"/>
      </w:pPr>
      <w:r w:rsidRPr="00D15498">
        <w:t>Brand &amp; Trust as Cognitive Infrastructure</w:t>
      </w:r>
    </w:p>
    <w:p w14:paraId="47E97CD0" w14:textId="31AC7804" w:rsidR="00D15498" w:rsidRPr="00D15498" w:rsidRDefault="00D15498" w:rsidP="00D15498">
      <w:pPr>
        <w:pStyle w:val="BodyText"/>
      </w:pPr>
      <w:r w:rsidRPr="00D15498">
        <w:t>Research into safety-critical systems shows that trust is built through consistency, clarity, and restraint rather than expressiveness.</w:t>
      </w:r>
      <w:r w:rsidRPr="00D15498">
        <w:br/>
        <w:t xml:space="preserve">FlytBase’s brand principles — </w:t>
      </w:r>
      <w:r w:rsidRPr="00D15498">
        <w:rPr>
          <w:b/>
          <w:bCs/>
        </w:rPr>
        <w:t>reliability, precision, and clarity</w:t>
      </w:r>
      <w:r w:rsidRPr="00D15498">
        <w:t xml:space="preserve"> — directly support the reduction of cognitive load by ensuring that the interface communicates confidence without urgency.</w:t>
      </w:r>
      <w:r w:rsidRPr="00D15498">
        <w:br/>
        <w:t>For highly disciplined, risk-aware operators, trust is earned through performance and predictable system behavior, not visual emphasis or constant alerts.</w:t>
      </w:r>
    </w:p>
    <w:p w14:paraId="61DAC0B8" w14:textId="77777777" w:rsidR="00D15498" w:rsidRDefault="00D15498">
      <w:pPr>
        <w:pStyle w:val="BodyText"/>
      </w:pPr>
    </w:p>
    <w:p w14:paraId="58C487BF" w14:textId="77777777" w:rsidR="0004475C" w:rsidRDefault="00000000">
      <w:r>
        <w:pict w14:anchorId="0BF90BC9">
          <v:rect id="_x0000_i1028" style="width:0;height:1.5pt" o:hralign="center" o:hrstd="t" o:hr="t"/>
        </w:pict>
      </w:r>
    </w:p>
    <w:p w14:paraId="0698A114" w14:textId="77777777" w:rsidR="0004475C" w:rsidRDefault="00000000">
      <w:pPr>
        <w:pStyle w:val="Heading2"/>
      </w:pPr>
      <w:bookmarkStart w:id="8" w:name="alert-fatigue-the-verification-problem"/>
      <w:bookmarkEnd w:id="5"/>
      <w:bookmarkEnd w:id="7"/>
      <w:r>
        <w:t>3. Alert Fatigue &amp; the Verification Problem</w:t>
      </w:r>
    </w:p>
    <w:p w14:paraId="286824F4" w14:textId="77777777" w:rsidR="0004475C" w:rsidRDefault="00000000">
      <w:pPr>
        <w:pStyle w:val="Heading3"/>
      </w:pPr>
      <w:bookmarkStart w:id="9" w:name="evidence-1"/>
      <w:r>
        <w:t>Evidence</w:t>
      </w:r>
    </w:p>
    <w:p w14:paraId="3E5E7052" w14:textId="3ECFC988" w:rsidR="0004475C" w:rsidRDefault="00161697">
      <w:pPr>
        <w:pStyle w:val="FirstParagraph"/>
      </w:pPr>
      <w:r w:rsidRPr="00161697">
        <w:t xml:space="preserve">In safety-critical systems, operators hesitate when alerts lack clear confidence signals, especially during night operations when raw visual data is unreliable. Thermal spikes, satellite anomalies, and fixed sensors often provide </w:t>
      </w:r>
      <w:r w:rsidRPr="00161697">
        <w:rPr>
          <w:i/>
          <w:iCs/>
        </w:rPr>
        <w:t>partial</w:t>
      </w:r>
      <w:r w:rsidRPr="00161697">
        <w:t xml:space="preserve"> signals rather than definitive proof, leading to false-positive fatigue if presented poorly</w:t>
      </w:r>
      <w:r>
        <w:t>.</w:t>
      </w:r>
    </w:p>
    <w:p w14:paraId="4807BECC" w14:textId="77777777" w:rsidR="0004475C" w:rsidRDefault="00000000">
      <w:pPr>
        <w:pStyle w:val="Heading3"/>
      </w:pPr>
      <w:bookmarkStart w:id="10" w:name="design-implication-1"/>
      <w:bookmarkEnd w:id="9"/>
      <w:r>
        <w:t>Design Implication</w:t>
      </w:r>
    </w:p>
    <w:p w14:paraId="61770E90" w14:textId="77777777" w:rsidR="00161697" w:rsidRDefault="00161697">
      <w:pPr>
        <w:pStyle w:val="BodyText"/>
      </w:pPr>
      <w:r w:rsidRPr="00161697">
        <w:t xml:space="preserve">Operators do not need a “replay” of an event — they need to understand </w:t>
      </w:r>
      <w:r w:rsidRPr="00161697">
        <w:rPr>
          <w:i/>
          <w:iCs/>
        </w:rPr>
        <w:t>how confidence is being established</w:t>
      </w:r>
      <w:r w:rsidRPr="00161697">
        <w:t>.</w:t>
      </w:r>
    </w:p>
    <w:p w14:paraId="74DF95AD" w14:textId="746C1297" w:rsidR="0004475C" w:rsidRDefault="00000000">
      <w:pPr>
        <w:pStyle w:val="BodyText"/>
      </w:pPr>
      <w:r>
        <w:rPr>
          <w:b/>
          <w:bCs/>
        </w:rPr>
        <w:t>Applied Decision:</w:t>
      </w:r>
      <w:r>
        <w:t xml:space="preserve"> </w:t>
      </w:r>
      <w:r w:rsidR="00161697" w:rsidRPr="00161697">
        <w:t xml:space="preserve">FlytBase Sentinel replaces replay-based confirmation with a </w:t>
      </w:r>
      <w:r w:rsidR="00161697" w:rsidRPr="00161697">
        <w:rPr>
          <w:b/>
          <w:bCs/>
        </w:rPr>
        <w:t>Signal Corroboration Snapshot</w:t>
      </w:r>
      <w:r w:rsidR="00161697" w:rsidRPr="00161697">
        <w:t xml:space="preserve"> that summarizes anomaly source, detection time, and live confidence trends as autonomous verification begins. This allows operators to judge credibility immediately without manual cross-checking.</w:t>
      </w:r>
    </w:p>
    <w:p w14:paraId="407E0D73" w14:textId="77777777" w:rsidR="0004475C" w:rsidRDefault="00000000">
      <w:r>
        <w:pict w14:anchorId="6C45DEFB">
          <v:rect id="_x0000_i1029" style="width:0;height:1.5pt" o:hralign="center" o:hrstd="t" o:hr="t"/>
        </w:pict>
      </w:r>
    </w:p>
    <w:p w14:paraId="3ED6DB81" w14:textId="77777777" w:rsidR="0004475C" w:rsidRDefault="00000000">
      <w:pPr>
        <w:pStyle w:val="Heading2"/>
      </w:pPr>
      <w:bookmarkStart w:id="11" w:name="Xecbe5a826041cb675f1c6761bb90f97445db7d2"/>
      <w:bookmarkEnd w:id="8"/>
      <w:bookmarkEnd w:id="10"/>
      <w:r>
        <w:t>4. Human–AI Trust: Explain Intent, Not Mechanics</w:t>
      </w:r>
    </w:p>
    <w:p w14:paraId="53AFBED3" w14:textId="77777777" w:rsidR="0004475C" w:rsidRDefault="00000000">
      <w:pPr>
        <w:pStyle w:val="Heading3"/>
      </w:pPr>
      <w:bookmarkStart w:id="12" w:name="evidence-2"/>
      <w:r>
        <w:t>Evidence</w:t>
      </w:r>
    </w:p>
    <w:p w14:paraId="18389220" w14:textId="77777777" w:rsidR="0004475C" w:rsidRDefault="00000000">
      <w:pPr>
        <w:pStyle w:val="FirstParagraph"/>
      </w:pPr>
      <w:r>
        <w:t xml:space="preserve">Operators override autonomous systems when they cannot understand </w:t>
      </w:r>
      <w:r>
        <w:rPr>
          <w:i/>
          <w:iCs/>
        </w:rPr>
        <w:t>why</w:t>
      </w:r>
      <w:r>
        <w:t xml:space="preserve"> an action is occurring. Over-detailed explanations, however, increase cognitive load and slow decisions.</w:t>
      </w:r>
    </w:p>
    <w:p w14:paraId="4D4A9790" w14:textId="77777777" w:rsidR="0004475C" w:rsidRDefault="00000000">
      <w:pPr>
        <w:pStyle w:val="Heading3"/>
      </w:pPr>
      <w:bookmarkStart w:id="13" w:name="design-implication-2"/>
      <w:bookmarkEnd w:id="12"/>
      <w:r>
        <w:lastRenderedPageBreak/>
        <w:t>Design Implication</w:t>
      </w:r>
    </w:p>
    <w:p w14:paraId="41A54328" w14:textId="77777777" w:rsidR="0004475C" w:rsidRDefault="00000000">
      <w:pPr>
        <w:pStyle w:val="FirstParagraph"/>
      </w:pPr>
      <w:r>
        <w:t xml:space="preserve">Trust is maximized through </w:t>
      </w:r>
      <w:r>
        <w:rPr>
          <w:b/>
          <w:bCs/>
        </w:rPr>
        <w:t>brief, causal explainability</w:t>
      </w:r>
      <w:r>
        <w:t>.</w:t>
      </w:r>
    </w:p>
    <w:p w14:paraId="7C0E392F" w14:textId="77777777" w:rsidR="0004475C" w:rsidRDefault="00000000">
      <w:pPr>
        <w:pStyle w:val="BodyText"/>
      </w:pPr>
      <w:r>
        <w:rPr>
          <w:b/>
          <w:bCs/>
        </w:rPr>
        <w:t>Applied Decision:</w:t>
      </w:r>
      <w:r>
        <w:t xml:space="preserve"> Pre-Execution Preview (Planned Action Overlay) shows the AI’s intended outcome and key reasons in one glance, followed by explicit human confirmation for high-impact actions.</w:t>
      </w:r>
    </w:p>
    <w:p w14:paraId="48B4B03E" w14:textId="77777777" w:rsidR="0004475C" w:rsidRDefault="00000000">
      <w:r>
        <w:pict w14:anchorId="4F882F87">
          <v:rect id="_x0000_i1030" style="width:0;height:1.5pt" o:hralign="center" o:hrstd="t" o:hr="t"/>
        </w:pict>
      </w:r>
    </w:p>
    <w:p w14:paraId="56DA1137" w14:textId="77777777" w:rsidR="0004475C" w:rsidRDefault="00000000">
      <w:pPr>
        <w:pStyle w:val="Heading2"/>
      </w:pPr>
      <w:bookmarkStart w:id="14" w:name="spatial-mental-models-in-command-centers"/>
      <w:bookmarkEnd w:id="11"/>
      <w:bookmarkEnd w:id="13"/>
      <w:r>
        <w:t>5. Spatial Mental Models in Command Centers</w:t>
      </w:r>
    </w:p>
    <w:p w14:paraId="06D34AE4" w14:textId="77777777" w:rsidR="0004475C" w:rsidRDefault="00000000">
      <w:pPr>
        <w:pStyle w:val="Heading3"/>
      </w:pPr>
      <w:bookmarkStart w:id="15" w:name="evidence-3"/>
      <w:r>
        <w:t>Evidence</w:t>
      </w:r>
    </w:p>
    <w:p w14:paraId="72ECD37C" w14:textId="77777777" w:rsidR="0004475C" w:rsidRDefault="00000000">
      <w:pPr>
        <w:pStyle w:val="FirstParagraph"/>
      </w:pPr>
      <w:r>
        <w:t>Emergency operators reason spatially—where the threat is and how it will spread—rather than through lists or timelines. Multiple panels and view-switching introduce translation cost and context loss.</w:t>
      </w:r>
    </w:p>
    <w:p w14:paraId="027A20E8" w14:textId="77777777" w:rsidR="0004475C" w:rsidRDefault="00000000">
      <w:pPr>
        <w:pStyle w:val="Heading3"/>
      </w:pPr>
      <w:bookmarkStart w:id="16" w:name="design-implication-3"/>
      <w:bookmarkEnd w:id="15"/>
      <w:r>
        <w:t>Design Implication</w:t>
      </w:r>
    </w:p>
    <w:p w14:paraId="224D0447" w14:textId="77777777" w:rsidR="0004475C" w:rsidRDefault="00000000">
      <w:pPr>
        <w:pStyle w:val="FirstParagraph"/>
      </w:pPr>
      <w:r>
        <w:t>All critical intelligence should collapse into a single spatial model.</w:t>
      </w:r>
    </w:p>
    <w:p w14:paraId="7FA9E0C6" w14:textId="77777777" w:rsidR="0004475C" w:rsidRDefault="00000000">
      <w:pPr>
        <w:pStyle w:val="BodyText"/>
      </w:pPr>
      <w:r>
        <w:rPr>
          <w:b/>
          <w:bCs/>
        </w:rPr>
        <w:t>Applied Decision:</w:t>
      </w:r>
      <w:r>
        <w:t xml:space="preserve"> A Reconstructed Operational View (single map) visualizes fire extent, impact boundaries, and response routes, preserving situational awareness without context switching.</w:t>
      </w:r>
    </w:p>
    <w:p w14:paraId="3320F9A0" w14:textId="77777777" w:rsidR="0004475C" w:rsidRDefault="00000000">
      <w:r>
        <w:pict w14:anchorId="3694410F">
          <v:rect id="_x0000_i1031" style="width:0;height:1.5pt" o:hralign="center" o:hrstd="t" o:hr="t"/>
        </w:pict>
      </w:r>
    </w:p>
    <w:p w14:paraId="131545F8" w14:textId="77777777" w:rsidR="0004475C" w:rsidRDefault="00000000">
      <w:pPr>
        <w:pStyle w:val="Heading2"/>
      </w:pPr>
      <w:bookmarkStart w:id="17" w:name="coordination-hand-off-friction"/>
      <w:bookmarkEnd w:id="14"/>
      <w:bookmarkEnd w:id="16"/>
      <w:r>
        <w:t>6. Coordination &amp; Hand-Off Friction</w:t>
      </w:r>
    </w:p>
    <w:p w14:paraId="322A0294" w14:textId="77777777" w:rsidR="0004475C" w:rsidRDefault="00000000">
      <w:pPr>
        <w:pStyle w:val="Heading3"/>
      </w:pPr>
      <w:bookmarkStart w:id="18" w:name="evidence-4"/>
      <w:r>
        <w:t>Evidence</w:t>
      </w:r>
    </w:p>
    <w:p w14:paraId="10B1A62F" w14:textId="77777777" w:rsidR="0004475C" w:rsidRDefault="00000000">
      <w:pPr>
        <w:pStyle w:val="FirstParagraph"/>
      </w:pPr>
      <w:r>
        <w:t>Siloed tools for aerial data, ground coordination, and public alerts introduce delay and miscommunication. Verbal or textual descriptions of spatial data are error-prone under pressure.</w:t>
      </w:r>
    </w:p>
    <w:p w14:paraId="0A411851" w14:textId="77777777" w:rsidR="0004475C" w:rsidRDefault="00000000">
      <w:pPr>
        <w:pStyle w:val="Heading3"/>
      </w:pPr>
      <w:bookmarkStart w:id="19" w:name="design-implication-4"/>
      <w:bookmarkEnd w:id="18"/>
      <w:r>
        <w:t>Design Implication</w:t>
      </w:r>
    </w:p>
    <w:p w14:paraId="7E4E9A96" w14:textId="77777777" w:rsidR="0004475C" w:rsidRDefault="00000000">
      <w:pPr>
        <w:pStyle w:val="FirstParagraph"/>
      </w:pPr>
      <w:r>
        <w:t>Shared situational context must be instantly transferable.</w:t>
      </w:r>
    </w:p>
    <w:p w14:paraId="288D716B" w14:textId="77777777" w:rsidR="0004475C" w:rsidRDefault="00000000">
      <w:pPr>
        <w:pStyle w:val="BodyText"/>
      </w:pPr>
      <w:r>
        <w:rPr>
          <w:b/>
          <w:bCs/>
        </w:rPr>
        <w:t>Applied Decision:</w:t>
      </w:r>
      <w:r>
        <w:t xml:space="preserve"> The operator authorizes escalation to relevant authorities from the same interface, ensuring that all teams act on a consistent, spatially grounded intelligence view.</w:t>
      </w:r>
    </w:p>
    <w:p w14:paraId="5544D256" w14:textId="77777777" w:rsidR="0004475C" w:rsidRDefault="00000000">
      <w:r>
        <w:pict w14:anchorId="7090AF51">
          <v:rect id="_x0000_i1032" style="width:0;height:1.5pt" o:hralign="center" o:hrstd="t" o:hr="t"/>
        </w:pict>
      </w:r>
    </w:p>
    <w:p w14:paraId="4C461D7C" w14:textId="77777777" w:rsidR="0004475C" w:rsidRDefault="00000000">
      <w:pPr>
        <w:pStyle w:val="Heading2"/>
      </w:pPr>
      <w:bookmarkStart w:id="20" w:name="resilience-safety-documentation"/>
      <w:bookmarkEnd w:id="17"/>
      <w:bookmarkEnd w:id="19"/>
      <w:r>
        <w:lastRenderedPageBreak/>
        <w:t>7. Resilience, Safety &amp; Documentation</w:t>
      </w:r>
    </w:p>
    <w:p w14:paraId="38E5FBA2" w14:textId="77777777" w:rsidR="0004475C" w:rsidRDefault="00000000">
      <w:pPr>
        <w:pStyle w:val="Heading3"/>
      </w:pPr>
      <w:bookmarkStart w:id="21" w:name="evidence-5"/>
      <w:r>
        <w:t>Evidence</w:t>
      </w:r>
    </w:p>
    <w:p w14:paraId="69F34AAB" w14:textId="77777777" w:rsidR="0004475C" w:rsidRDefault="00000000">
      <w:pPr>
        <w:pStyle w:val="FirstParagraph"/>
      </w:pPr>
      <w:r>
        <w:t>Safety-critical systems require fail-safes and comprehensive documentation to be trusted in real-world operations. Documentation must not compete with live decision-making.</w:t>
      </w:r>
    </w:p>
    <w:p w14:paraId="358473A3" w14:textId="77777777" w:rsidR="0004475C" w:rsidRDefault="00000000">
      <w:pPr>
        <w:pStyle w:val="Heading3"/>
      </w:pPr>
      <w:bookmarkStart w:id="22" w:name="design-implication-5"/>
      <w:bookmarkEnd w:id="21"/>
      <w:r>
        <w:t>Design Implication</w:t>
      </w:r>
    </w:p>
    <w:p w14:paraId="3555152C" w14:textId="77777777" w:rsidR="0004475C" w:rsidRDefault="00000000">
      <w:pPr>
        <w:pStyle w:val="FirstParagraph"/>
      </w:pPr>
      <w:r>
        <w:t>Resilience and accountability should be passive, not interactive.</w:t>
      </w:r>
    </w:p>
    <w:p w14:paraId="1C1A1479" w14:textId="77777777" w:rsidR="0004475C" w:rsidRDefault="00000000">
      <w:pPr>
        <w:pStyle w:val="BodyText"/>
      </w:pPr>
      <w:r>
        <w:rPr>
          <w:b/>
          <w:bCs/>
        </w:rPr>
        <w:t>Applied Decision:</w:t>
      </w:r>
      <w:r>
        <w:t xml:space="preserve"> Automatic event timelines record alerts, decisions, and actions for evidence and audit, while safe defaults (operator fallback, offline continuity) handle exceptional failures without operator micromanagement.</w:t>
      </w:r>
    </w:p>
    <w:p w14:paraId="2F90377B" w14:textId="77777777" w:rsidR="0004475C" w:rsidRDefault="00000000">
      <w:r>
        <w:pict w14:anchorId="79A2B294">
          <v:rect id="_x0000_i1033" style="width:0;height:1.5pt" o:hralign="center" o:hrstd="t" o:hr="t"/>
        </w:pict>
      </w:r>
    </w:p>
    <w:p w14:paraId="4AAD3523" w14:textId="77777777" w:rsidR="0004475C" w:rsidRDefault="00000000">
      <w:pPr>
        <w:pStyle w:val="Heading2"/>
      </w:pPr>
      <w:bookmarkStart w:id="23" w:name="Xd1889de413c6d5bd3df15bf76e646ba66eab4f6"/>
      <w:bookmarkEnd w:id="20"/>
      <w:bookmarkEnd w:id="22"/>
      <w:r>
        <w:t>8. Comparative Analysis: Why We Rejected Standard Models</w:t>
      </w:r>
    </w:p>
    <w:p w14:paraId="71DC562E" w14:textId="77777777" w:rsidR="0004475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Pilot-Centric Dashboards:</w:t>
      </w:r>
      <w:r>
        <w:t xml:space="preserve"> Scale poorly beyond one drone; increase cognitive load.</w:t>
      </w:r>
    </w:p>
    <w:p w14:paraId="2CE31414" w14:textId="77777777" w:rsidR="0004475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Data-Heavy GIS Tools:</w:t>
      </w:r>
      <w:r>
        <w:t xml:space="preserve"> Optimized for post-incident analysis, not live crisis decisions.</w:t>
      </w:r>
    </w:p>
    <w:p w14:paraId="1E86165D" w14:textId="77777777" w:rsidR="0004475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Opaque Military-Style AI:</w:t>
      </w:r>
      <w:r>
        <w:t xml:space="preserve"> Creates distrust in civilian emergency contexts.</w:t>
      </w:r>
    </w:p>
    <w:p w14:paraId="1914B21F" w14:textId="77777777" w:rsidR="0004475C" w:rsidRDefault="00000000">
      <w:pPr>
        <w:pStyle w:val="FirstParagraph"/>
      </w:pPr>
      <w:r>
        <w:rPr>
          <w:b/>
          <w:bCs/>
        </w:rPr>
        <w:t>Strategic Conclusion:</w:t>
      </w:r>
      <w:r>
        <w:t xml:space="preserve"> FlytBase Sentinel is neither a cockpit nor a passive map—it is a </w:t>
      </w:r>
      <w:r>
        <w:rPr>
          <w:b/>
          <w:bCs/>
        </w:rPr>
        <w:t>decision surface</w:t>
      </w:r>
      <w:r>
        <w:t xml:space="preserve"> designed to minimize the time it takes to confidently say “Yes.”</w:t>
      </w:r>
    </w:p>
    <w:p w14:paraId="4A021BEA" w14:textId="77777777" w:rsidR="0004475C" w:rsidRDefault="00000000">
      <w:r>
        <w:pict w14:anchorId="71A9D737">
          <v:rect id="_x0000_i1034" style="width:0;height:1.5pt" o:hralign="center" o:hrstd="t" o:hr="t"/>
        </w:pict>
      </w:r>
    </w:p>
    <w:p w14:paraId="4DF5B2E1" w14:textId="77777777" w:rsidR="0004475C" w:rsidRDefault="00000000">
      <w:pPr>
        <w:pStyle w:val="Heading2"/>
      </w:pPr>
      <w:bookmarkStart w:id="24" w:name="validation-metrics-proposed"/>
      <w:bookmarkEnd w:id="23"/>
      <w:r>
        <w:t>9. Validation Metrics (Proposed)</w:t>
      </w:r>
    </w:p>
    <w:p w14:paraId="65DC3787" w14:textId="77777777" w:rsidR="0004475C" w:rsidRDefault="00000000">
      <w:pPr>
        <w:pStyle w:val="Compact"/>
        <w:numPr>
          <w:ilvl w:val="0"/>
          <w:numId w:val="3"/>
        </w:numPr>
      </w:pPr>
      <w:r>
        <w:t>Median time-to-decision for containment (&lt; 90s)</w:t>
      </w:r>
    </w:p>
    <w:p w14:paraId="4C4B356C" w14:textId="77777777" w:rsidR="0004475C" w:rsidRDefault="00000000">
      <w:pPr>
        <w:pStyle w:val="Compact"/>
        <w:numPr>
          <w:ilvl w:val="0"/>
          <w:numId w:val="3"/>
        </w:numPr>
      </w:pPr>
      <w:r>
        <w:t>Operator override rate of AI recommendations</w:t>
      </w:r>
    </w:p>
    <w:p w14:paraId="7C4D41FA" w14:textId="77777777" w:rsidR="0004475C" w:rsidRDefault="00000000">
      <w:pPr>
        <w:pStyle w:val="Compact"/>
        <w:numPr>
          <w:ilvl w:val="0"/>
          <w:numId w:val="3"/>
        </w:numPr>
      </w:pPr>
      <w:r>
        <w:t>Perceived workload reduction (NASA-TLX proxy)</w:t>
      </w:r>
    </w:p>
    <w:p w14:paraId="3AE91A8B" w14:textId="77777777" w:rsidR="0004475C" w:rsidRDefault="00000000">
      <w:pPr>
        <w:pStyle w:val="Compact"/>
        <w:numPr>
          <w:ilvl w:val="0"/>
          <w:numId w:val="3"/>
        </w:numPr>
      </w:pPr>
      <w:r>
        <w:t>Completeness of audit logs (100% coverage)</w:t>
      </w:r>
    </w:p>
    <w:p w14:paraId="1BAC10C1" w14:textId="77777777" w:rsidR="0004475C" w:rsidRDefault="00000000">
      <w:r>
        <w:pict w14:anchorId="1BB25823">
          <v:rect id="_x0000_i1035" style="width:0;height:1.5pt" o:hralign="center" o:hrstd="t" o:hr="t"/>
        </w:pict>
      </w:r>
    </w:p>
    <w:p w14:paraId="330B6FD1" w14:textId="3B605966" w:rsidR="0004475C" w:rsidRDefault="00000000">
      <w:pPr>
        <w:pStyle w:val="Heading2"/>
      </w:pPr>
      <w:bookmarkStart w:id="25" w:name="branding-considerations-placeholder"/>
      <w:bookmarkEnd w:id="24"/>
      <w:r>
        <w:t>Branding Considerations</w:t>
      </w:r>
    </w:p>
    <w:p w14:paraId="46FA249E" w14:textId="69FD3E25" w:rsidR="00D15498" w:rsidRPr="00D15498" w:rsidRDefault="00D15498" w:rsidP="00D15498">
      <w:pPr>
        <w:rPr>
          <w:b/>
          <w:bCs/>
          <w:i/>
          <w:iCs/>
          <w:lang w:val="en-IN"/>
        </w:rPr>
      </w:pPr>
      <w:r w:rsidRPr="00D15498">
        <w:rPr>
          <w:b/>
          <w:bCs/>
          <w:i/>
          <w:iCs/>
          <w:lang w:val="en-IN"/>
        </w:rPr>
        <w:t>Identity System Direction</w:t>
      </w:r>
    </w:p>
    <w:p w14:paraId="269E81FD" w14:textId="77777777" w:rsidR="00D15498" w:rsidRPr="00D15498" w:rsidRDefault="00D15498" w:rsidP="00D15498">
      <w:pPr>
        <w:rPr>
          <w:i/>
          <w:iCs/>
          <w:lang w:val="en-IN"/>
        </w:rPr>
      </w:pPr>
      <w:r w:rsidRPr="00D15498">
        <w:rPr>
          <w:i/>
          <w:iCs/>
          <w:lang w:val="en-IN"/>
        </w:rPr>
        <w:t>The FlytBase identity system is shaped by:</w:t>
      </w:r>
    </w:p>
    <w:p w14:paraId="29ED925D" w14:textId="77777777" w:rsidR="00D15498" w:rsidRPr="00D15498" w:rsidRDefault="00D15498" w:rsidP="00D15498">
      <w:pPr>
        <w:numPr>
          <w:ilvl w:val="0"/>
          <w:numId w:val="4"/>
        </w:numPr>
        <w:rPr>
          <w:i/>
          <w:iCs/>
          <w:lang w:val="en-IN"/>
        </w:rPr>
      </w:pPr>
      <w:r w:rsidRPr="00D15498">
        <w:rPr>
          <w:i/>
          <w:iCs/>
          <w:lang w:val="en-IN"/>
        </w:rPr>
        <w:t>competitor studies to ensure differentiation within the enterprise autonomy space</w:t>
      </w:r>
    </w:p>
    <w:p w14:paraId="1A14D041" w14:textId="77777777" w:rsidR="00D15498" w:rsidRPr="00D15498" w:rsidRDefault="00D15498" w:rsidP="00D15498">
      <w:pPr>
        <w:numPr>
          <w:ilvl w:val="0"/>
          <w:numId w:val="4"/>
        </w:numPr>
        <w:rPr>
          <w:i/>
          <w:iCs/>
          <w:lang w:val="en-IN"/>
        </w:rPr>
      </w:pPr>
      <w:r w:rsidRPr="00D15498">
        <w:rPr>
          <w:i/>
          <w:iCs/>
          <w:lang w:val="en-IN"/>
        </w:rPr>
        <w:t>psychological considerations that support trust and clarity under pressure</w:t>
      </w:r>
    </w:p>
    <w:p w14:paraId="2B86189E" w14:textId="77777777" w:rsidR="00D15498" w:rsidRPr="00D15498" w:rsidRDefault="00D15498" w:rsidP="00D15498">
      <w:pPr>
        <w:rPr>
          <w:i/>
          <w:iCs/>
          <w:lang w:val="en-IN"/>
        </w:rPr>
      </w:pPr>
      <w:r w:rsidRPr="00D15498">
        <w:rPr>
          <w:i/>
          <w:iCs/>
          <w:lang w:val="en-IN"/>
        </w:rPr>
        <w:t>Color and typography choices are guided by:</w:t>
      </w:r>
    </w:p>
    <w:p w14:paraId="526B386B" w14:textId="77777777" w:rsidR="00D15498" w:rsidRPr="00D15498" w:rsidRDefault="00D15498" w:rsidP="00D15498">
      <w:pPr>
        <w:numPr>
          <w:ilvl w:val="0"/>
          <w:numId w:val="5"/>
        </w:numPr>
        <w:rPr>
          <w:i/>
          <w:iCs/>
          <w:lang w:val="en-IN"/>
        </w:rPr>
      </w:pPr>
      <w:r w:rsidRPr="00D15498">
        <w:rPr>
          <w:i/>
          <w:iCs/>
          <w:lang w:val="en-IN"/>
        </w:rPr>
        <w:lastRenderedPageBreak/>
        <w:t>customer environment (long sessions, night operations)</w:t>
      </w:r>
    </w:p>
    <w:p w14:paraId="76604499" w14:textId="77777777" w:rsidR="00D15498" w:rsidRPr="00D15498" w:rsidRDefault="00D15498" w:rsidP="00D15498">
      <w:pPr>
        <w:numPr>
          <w:ilvl w:val="0"/>
          <w:numId w:val="5"/>
        </w:numPr>
        <w:rPr>
          <w:i/>
          <w:iCs/>
          <w:lang w:val="en-IN"/>
        </w:rPr>
      </w:pPr>
      <w:r w:rsidRPr="00D15498">
        <w:rPr>
          <w:i/>
          <w:iCs/>
          <w:lang w:val="en-IN"/>
        </w:rPr>
        <w:t>need for high legibility and low cognitive load</w:t>
      </w:r>
    </w:p>
    <w:p w14:paraId="663498B7" w14:textId="77777777" w:rsidR="00D15498" w:rsidRPr="00D15498" w:rsidRDefault="00D15498" w:rsidP="00D15498">
      <w:pPr>
        <w:numPr>
          <w:ilvl w:val="0"/>
          <w:numId w:val="5"/>
        </w:numPr>
        <w:rPr>
          <w:i/>
          <w:iCs/>
          <w:lang w:val="en-IN"/>
        </w:rPr>
      </w:pPr>
      <w:r w:rsidRPr="00D15498">
        <w:rPr>
          <w:i/>
          <w:iCs/>
          <w:lang w:val="en-IN"/>
        </w:rPr>
        <w:t>emotional outcomes such as confidence, control, and security</w:t>
      </w:r>
    </w:p>
    <w:p w14:paraId="0AD39D7E" w14:textId="77777777" w:rsidR="00D15498" w:rsidRPr="00D15498" w:rsidRDefault="00D15498" w:rsidP="00D15498">
      <w:pPr>
        <w:rPr>
          <w:i/>
          <w:iCs/>
          <w:lang w:val="en-IN"/>
        </w:rPr>
      </w:pPr>
      <w:r w:rsidRPr="00D15498">
        <w:rPr>
          <w:i/>
          <w:iCs/>
          <w:lang w:val="en-IN"/>
        </w:rPr>
        <w:t>The identity system supports the operator experience rather than competing with it.</w:t>
      </w:r>
    </w:p>
    <w:p w14:paraId="5AADE31A" w14:textId="77777777" w:rsidR="0004475C" w:rsidRDefault="00000000">
      <w:r>
        <w:pict w14:anchorId="23EBF3A2">
          <v:rect id="_x0000_i1036" style="width:0;height:1.5pt" o:hralign="center" o:hrstd="t" o:hr="t"/>
        </w:pict>
      </w:r>
    </w:p>
    <w:p w14:paraId="5BEE5228" w14:textId="77777777" w:rsidR="0004475C" w:rsidRDefault="00000000">
      <w:pPr>
        <w:pStyle w:val="Heading2"/>
      </w:pPr>
      <w:bookmarkStart w:id="26" w:name="summary-statement-for-submission"/>
      <w:bookmarkEnd w:id="25"/>
      <w:r>
        <w:t>Summary Statement for Submission</w:t>
      </w:r>
    </w:p>
    <w:p w14:paraId="60D2B015" w14:textId="77777777" w:rsidR="0004475C" w:rsidRDefault="00000000">
      <w:pPr>
        <w:pStyle w:val="FirstParagraph"/>
      </w:pPr>
      <w:r>
        <w:t>FlytBase Sentinel addresses emergency response latency by redesigning the human–AI boundary. By replacing pilot-centric control with intent-based authorization, spatial clarity, and progressive disclosure, the system collapses decision time while preserving human authority and accountability.</w:t>
      </w:r>
      <w:bookmarkEnd w:id="0"/>
      <w:bookmarkEnd w:id="26"/>
    </w:p>
    <w:sectPr w:rsidR="0004475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C5401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370C9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6933A98"/>
    <w:multiLevelType w:val="multilevel"/>
    <w:tmpl w:val="38CC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2D0753"/>
    <w:multiLevelType w:val="multilevel"/>
    <w:tmpl w:val="363A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652457">
    <w:abstractNumId w:val="0"/>
  </w:num>
  <w:num w:numId="2" w16cid:durableId="583337296">
    <w:abstractNumId w:val="1"/>
  </w:num>
  <w:num w:numId="3" w16cid:durableId="1884438000">
    <w:abstractNumId w:val="1"/>
  </w:num>
  <w:num w:numId="4" w16cid:durableId="485972678">
    <w:abstractNumId w:val="3"/>
  </w:num>
  <w:num w:numId="5" w16cid:durableId="10246700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475C"/>
    <w:rsid w:val="0004475C"/>
    <w:rsid w:val="00161697"/>
    <w:rsid w:val="00252C79"/>
    <w:rsid w:val="00A22C2D"/>
    <w:rsid w:val="00D15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23833"/>
  <w15:docId w15:val="{FAC52631-ED20-49C2-80DE-D9372507C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1016</Words>
  <Characters>5796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Rudraksh  Singh</cp:lastModifiedBy>
  <cp:revision>3</cp:revision>
  <dcterms:created xsi:type="dcterms:W3CDTF">2026-01-03T16:36:00Z</dcterms:created>
  <dcterms:modified xsi:type="dcterms:W3CDTF">2026-01-03T18:26:00Z</dcterms:modified>
</cp:coreProperties>
</file>