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shd w:val="clear" w:color="auto" w:fill="003366"/>
      </w:pPr>
      <w:r>
        <w:rPr>
          <w:sz w:val="56"/>
        </w:rPr>
        <w:t xml:space="preserve">  </w:t>
      </w:r>
    </w:p>
    <w:p/>
    <w:p>
      <w:pPr>
        <w:spacing w:after="80"/>
        <w:jc w:val="center"/>
      </w:pPr>
      <w:r>
        <w:rPr>
          <w:rFonts w:ascii="Calibri" w:hAnsi="Calibri"/>
          <w:b/>
          <w:color w:val="003366"/>
          <w:sz w:val="72"/>
        </w:rPr>
        <w:t>DataMate Edu</w:t>
      </w:r>
    </w:p>
    <w:p>
      <w:pPr>
        <w:spacing w:after="400"/>
        <w:jc w:val="center"/>
      </w:pPr>
      <w:r>
        <w:rPr>
          <w:rFonts w:ascii="Calibri" w:hAnsi="Calibri"/>
          <w:b/>
          <w:color w:val="0054A6"/>
          <w:sz w:val="56"/>
        </w:rPr>
        <w:t>Guía del Usuario</w:t>
      </w:r>
    </w:p>
    <w:p>
      <w:pPr>
        <w:spacing w:after="1200"/>
        <w:jc w:val="center"/>
      </w:pPr>
      <w:r>
        <w:rPr>
          <w:rFonts w:ascii="Calibri" w:hAnsi="Calibri"/>
          <w:b w:val="0"/>
          <w:color w:val="404040"/>
          <w:sz w:val="32"/>
        </w:rPr>
        <w:t>Portal de Inteligencia Financiera para la</w:t>
        <w:br/>
        <w:t>Superintendencia de Educación de Chile</w:t>
      </w:r>
    </w:p>
    <w:p>
      <w:pPr>
        <w:shd w:val="clear" w:color="auto" w:fill="0054A6"/>
        <w:spacing w:after="800"/>
      </w:pPr>
      <w:r>
        <w:rPr>
          <w:sz w:val="8"/>
        </w:rPr>
        <w:t xml:space="preserve">  </w:t>
      </w:r>
    </w:p>
    <w:p>
      <w:pPr>
        <w:spacing w:after="160"/>
        <w:jc w:val="center"/>
      </w:pPr>
      <w:r>
        <w:rPr>
          <w:rFonts w:ascii="Calibri" w:hAnsi="Calibri"/>
          <w:color w:val="404040"/>
          <w:sz w:val="28"/>
        </w:rPr>
        <w:t>Abril 2026</w:t>
      </w:r>
    </w:p>
    <w:p>
      <w:pPr>
        <w:jc w:val="center"/>
      </w:pPr>
      <w:r>
        <w:rPr>
          <w:rFonts w:ascii="Calibri" w:hAnsi="Calibri"/>
          <w:i/>
          <w:color w:val="404040"/>
          <w:sz w:val="22"/>
        </w:rPr>
        <w:t>Documento de Uso Interno — Superintendencia de Educación de Chile</w:t>
      </w:r>
    </w:p>
    <w:p>
      <w:r>
        <w:br w:type="page"/>
      </w:r>
    </w:p>
    <w:p>
      <w:pPr>
        <w:pStyle w:val="Heading1"/>
        <w:spacing w:before="280" w:after="120"/>
      </w:pPr>
      <w:r>
        <w:rPr>
          <w:color w:val="003366"/>
        </w:rPr>
        <w:t>Contenido</w:t>
      </w:r>
    </w:p>
    <w:p>
      <w:pPr>
        <w:spacing w:after="100"/>
      </w:pPr>
      <w:r>
        <w:rPr>
          <w:rFonts w:ascii="Calibri" w:hAnsi="Calibri"/>
          <w:b/>
          <w:i w:val="0"/>
          <w:color w:val="0054A6"/>
          <w:sz w:val="24"/>
        </w:rPr>
        <w:t>1.  Introducción</w:t>
      </w:r>
      <w:r>
        <w:rPr>
          <w:rFonts w:ascii="Calibri" w:hAnsi="Calibri"/>
          <w:b w:val="0"/>
          <w:i w:val="0"/>
          <w:color w:val="404040"/>
          <w:sz w:val="22"/>
        </w:rPr>
        <w:t>........................................... 3</w:t>
      </w:r>
    </w:p>
    <w:p>
      <w:pPr>
        <w:spacing w:after="100"/>
      </w:pPr>
      <w:r>
        <w:rPr>
          <w:rFonts w:ascii="Calibri" w:hAnsi="Calibri"/>
          <w:b/>
          <w:i w:val="0"/>
          <w:color w:val="0054A6"/>
          <w:sz w:val="24"/>
        </w:rPr>
        <w:t>2.  Perfiles Fiscales — Vista de Sostenedores</w:t>
      </w:r>
      <w:r>
        <w:rPr>
          <w:rFonts w:ascii="Calibri" w:hAnsi="Calibri"/>
          <w:b w:val="0"/>
          <w:i w:val="0"/>
          <w:color w:val="404040"/>
          <w:sz w:val="22"/>
        </w:rPr>
        <w:t>.............. 4</w:t>
      </w:r>
    </w:p>
    <w:p>
      <w:pPr>
        <w:spacing w:after="100"/>
      </w:pPr>
      <w:r>
        <w:rPr>
          <w:rFonts w:ascii="Calibri" w:hAnsi="Calibri"/>
          <w:b/>
          <w:i w:val="0"/>
          <w:color w:val="0054A6"/>
          <w:sz w:val="24"/>
        </w:rPr>
        <w:t>3.  Inteligencia — Panel de Portafolio</w:t>
      </w:r>
      <w:r>
        <w:rPr>
          <w:rFonts w:ascii="Calibri" w:hAnsi="Calibri"/>
          <w:b w:val="0"/>
          <w:i w:val="0"/>
          <w:color w:val="404040"/>
          <w:sz w:val="22"/>
        </w:rPr>
        <w:t>..................... 6</w:t>
      </w:r>
    </w:p>
    <w:p>
      <w:pPr>
        <w:spacing w:after="100"/>
      </w:pPr>
      <w:r>
        <w:rPr>
          <w:rFonts w:ascii="Calibri" w:hAnsi="Calibri"/>
          <w:b/>
          <w:i w:val="0"/>
          <w:color w:val="0054A6"/>
          <w:sz w:val="24"/>
        </w:rPr>
        <w:t>4.  Milo AI — Asistente de Inteligencia Artificial</w:t>
      </w:r>
      <w:r>
        <w:rPr>
          <w:rFonts w:ascii="Calibri" w:hAnsi="Calibri"/>
          <w:b w:val="0"/>
          <w:i w:val="0"/>
          <w:color w:val="404040"/>
          <w:sz w:val="22"/>
        </w:rPr>
        <w:t>......... 9</w:t>
      </w:r>
    </w:p>
    <w:p>
      <w:pPr>
        <w:spacing w:after="100"/>
      </w:pPr>
      <w:r>
        <w:rPr>
          <w:rFonts w:ascii="Calibri" w:hAnsi="Calibri"/>
          <w:b/>
          <w:i w:val="0"/>
          <w:color w:val="0054A6"/>
          <w:sz w:val="24"/>
        </w:rPr>
        <w:t>5.  Alertas — Notificaciones y Seguimiento</w:t>
      </w:r>
      <w:r>
        <w:rPr>
          <w:rFonts w:ascii="Calibri" w:hAnsi="Calibri"/>
          <w:b w:val="0"/>
          <w:i w:val="0"/>
          <w:color w:val="404040"/>
          <w:sz w:val="22"/>
        </w:rPr>
        <w:t>................. 11</w:t>
      </w:r>
    </w:p>
    <w:p>
      <w:pPr>
        <w:spacing w:after="100"/>
      </w:pPr>
      <w:r>
        <w:rPr>
          <w:rFonts w:ascii="Calibri" w:hAnsi="Calibri"/>
          <w:b/>
          <w:i w:val="0"/>
          <w:color w:val="0054A6"/>
          <w:sz w:val="24"/>
        </w:rPr>
        <w:t>6.  GNA — Análisis GNA</w:t>
      </w:r>
      <w:r>
        <w:rPr>
          <w:rFonts w:ascii="Calibri" w:hAnsi="Calibri"/>
          <w:b w:val="0"/>
          <w:i w:val="0"/>
          <w:color w:val="404040"/>
          <w:sz w:val="22"/>
        </w:rPr>
        <w:t>..................................... 12</w:t>
      </w:r>
    </w:p>
    <w:p>
      <w:pPr>
        <w:spacing w:after="100"/>
      </w:pPr>
      <w:r>
        <w:rPr>
          <w:rFonts w:ascii="Calibri" w:hAnsi="Calibri"/>
          <w:b/>
          <w:i w:val="0"/>
          <w:color w:val="0054A6"/>
          <w:sz w:val="24"/>
        </w:rPr>
        <w:t>7.  Glosario de Indicadores y Niveles de Riesgo</w:t>
      </w:r>
      <w:r>
        <w:rPr>
          <w:rFonts w:ascii="Calibri" w:hAnsi="Calibri"/>
          <w:b w:val="0"/>
          <w:i w:val="0"/>
          <w:color w:val="404040"/>
          <w:sz w:val="22"/>
        </w:rPr>
        <w:t>............ 13</w:t>
      </w:r>
    </w:p>
    <w:p>
      <w:pPr>
        <w:spacing w:after="100"/>
      </w:pPr>
      <w:r>
        <w:rPr>
          <w:rFonts w:ascii="Calibri" w:hAnsi="Calibri"/>
          <w:b/>
          <w:i w:val="0"/>
          <w:color w:val="0054A6"/>
          <w:sz w:val="24"/>
        </w:rPr>
        <w:t>8.  Cómo Empezar — Guía de Inicio Rápido</w:t>
      </w:r>
      <w:r>
        <w:rPr>
          <w:rFonts w:ascii="Calibri" w:hAnsi="Calibri"/>
          <w:b w:val="0"/>
          <w:i w:val="0"/>
          <w:color w:val="404040"/>
          <w:sz w:val="22"/>
        </w:rPr>
        <w:t>................... 15</w:t>
      </w:r>
    </w:p>
    <w:p>
      <w:r>
        <w:br w:type="page"/>
      </w:r>
    </w:p>
    <w:p>
      <w:pPr>
        <w:pStyle w:val="Heading1"/>
        <w:spacing w:before="280" w:after="120"/>
      </w:pPr>
      <w:r>
        <w:rPr>
          <w:color w:val="003366"/>
        </w:rPr>
        <w:t>1.  Introducción</w:t>
      </w:r>
    </w:p>
    <w:p>
      <w:pPr>
        <w:spacing w:after="120"/>
      </w:pPr>
      <w:r>
        <w:rPr>
          <w:rFonts w:ascii="Calibri" w:hAnsi="Calibri"/>
          <w:b w:val="0"/>
          <w:i w:val="0"/>
          <w:sz w:val="22"/>
        </w:rPr>
        <w:t>DataMate Edu es el portal de inteligencia financiera desarrollado para apoyar la labor supervisora y analítica de la Superintendencia de Educación de Chile. El sistema integra datos financieros, estadísticas educacionales del MINEDUC, documentos de adquisiciones y análisis de inteligencia artificial en una sola plataforma, facilitando la toma de decisiones basada en evidencia.</w:t>
      </w:r>
    </w:p>
    <w:p>
      <w:pPr>
        <w:spacing w:after="120"/>
      </w:pPr>
      <w:r>
        <w:rPr>
          <w:rFonts w:ascii="Calibri" w:hAnsi="Calibri"/>
          <w:b w:val="0"/>
          <w:i w:val="0"/>
          <w:sz w:val="22"/>
        </w:rPr>
        <w:t>Esta guía está dirigida a analistas y supervisores que utilizan el portal en su trabajo diario. No es necesario tener conocimientos técnicos para comprender ni operar el sistema.</w:t>
      </w:r>
    </w:p>
    <w:p>
      <w:pPr>
        <w:pStyle w:val="Heading2"/>
        <w:spacing w:before="280" w:after="120"/>
      </w:pPr>
      <w:r>
        <w:rPr>
          <w:color w:val="0054A6"/>
        </w:rPr>
        <w:t>¿Para qué sirve el portal?</w:t>
      </w:r>
    </w:p>
    <w:p>
      <w:pPr>
        <w:pStyle w:val="ListBullet"/>
        <w:spacing w:after="60"/>
      </w:pPr>
      <w:r>
        <w:rPr>
          <w:rFonts w:ascii="Calibri" w:hAnsi="Calibri"/>
          <w:b/>
          <w:i w:val="0"/>
          <w:sz w:val="22"/>
        </w:rPr>
        <w:t xml:space="preserve">Monitorear la situación financiera </w:t>
      </w:r>
      <w:r>
        <w:rPr>
          <w:rFonts w:ascii="Calibri" w:hAnsi="Calibri"/>
          <w:b w:val="0"/>
          <w:i w:val="0"/>
          <w:sz w:val="22"/>
        </w:rPr>
        <w:t>de todos los sostenedores de Chile en tiempo real.</w:t>
      </w:r>
    </w:p>
    <w:p>
      <w:pPr>
        <w:pStyle w:val="ListBullet"/>
        <w:spacing w:after="60"/>
      </w:pPr>
      <w:r>
        <w:rPr>
          <w:rFonts w:ascii="Calibri" w:hAnsi="Calibri"/>
          <w:b/>
          <w:i w:val="0"/>
          <w:sz w:val="22"/>
        </w:rPr>
        <w:t xml:space="preserve">Detectar riesgos tempranamente </w:t>
      </w:r>
      <w:r>
        <w:rPr>
          <w:rFonts w:ascii="Calibri" w:hAnsi="Calibri"/>
          <w:b w:val="0"/>
          <w:i w:val="0"/>
          <w:sz w:val="22"/>
        </w:rPr>
        <w:t>a través de indicadores automatizados y niveles de alerta.</w:t>
      </w:r>
    </w:p>
    <w:p>
      <w:pPr>
        <w:pStyle w:val="ListBullet"/>
        <w:spacing w:after="60"/>
      </w:pPr>
      <w:r>
        <w:rPr>
          <w:rFonts w:ascii="Calibri" w:hAnsi="Calibri"/>
          <w:b/>
          <w:i w:val="0"/>
          <w:sz w:val="22"/>
        </w:rPr>
        <w:t xml:space="preserve">Hacer preguntas en lenguaje natural </w:t>
      </w:r>
      <w:r>
        <w:rPr>
          <w:rFonts w:ascii="Calibri" w:hAnsi="Calibri"/>
          <w:b w:val="0"/>
          <w:i w:val="0"/>
          <w:sz w:val="22"/>
        </w:rPr>
        <w:t>a una inteligencia artificial especializada en normativa educacional y datos financieros.</w:t>
      </w:r>
    </w:p>
    <w:p>
      <w:pPr>
        <w:pStyle w:val="ListBullet"/>
        <w:spacing w:after="60"/>
      </w:pPr>
      <w:r>
        <w:rPr>
          <w:rFonts w:ascii="Calibri" w:hAnsi="Calibri"/>
          <w:b/>
          <w:i w:val="0"/>
          <w:sz w:val="22"/>
        </w:rPr>
        <w:t xml:space="preserve">Revisar documentos de remuneraciones y licitaciones </w:t>
      </w:r>
      <w:r>
        <w:rPr>
          <w:rFonts w:ascii="Calibri" w:hAnsi="Calibri"/>
          <w:b w:val="0"/>
          <w:i w:val="0"/>
          <w:sz w:val="22"/>
        </w:rPr>
        <w:t>de forma centralizada.</w:t>
      </w:r>
    </w:p>
    <w:p>
      <w:pPr>
        <w:pStyle w:val="ListBullet"/>
        <w:spacing w:after="60"/>
      </w:pPr>
      <w:r>
        <w:rPr>
          <w:rFonts w:ascii="Calibri" w:hAnsi="Calibri"/>
          <w:b/>
          <w:i w:val="0"/>
          <w:sz w:val="22"/>
        </w:rPr>
        <w:t xml:space="preserve">Generar análisis estratégicos </w:t>
      </w:r>
      <w:r>
        <w:rPr>
          <w:rFonts w:ascii="Calibri" w:hAnsi="Calibri"/>
          <w:b w:val="0"/>
          <w:i w:val="0"/>
          <w:sz w:val="22"/>
        </w:rPr>
        <w:t>de todo el portafolio con un solo clic.</w:t>
      </w:r>
    </w:p>
    <w:p>
      <w:pPr>
        <w:pStyle w:val="Heading2"/>
        <w:spacing w:before="280" w:after="120"/>
      </w:pPr>
      <w:r>
        <w:rPr>
          <w:color w:val="0054A6"/>
        </w:rPr>
        <w:t>Niveles de riesgo en el portal</w:t>
      </w:r>
    </w:p>
    <w:p>
      <w:pPr>
        <w:spacing w:after="120"/>
      </w:pPr>
      <w:r>
        <w:rPr>
          <w:rFonts w:ascii="Calibri" w:hAnsi="Calibri"/>
          <w:b w:val="0"/>
          <w:i w:val="0"/>
          <w:sz w:val="22"/>
        </w:rPr>
        <w:t>En todo el portal verá etiquetas de color que indican el nivel de riesgo financiero de cada sostenedor. Estas etiquetas se asignan de forma automática según los valores de los indicadores:</w:t>
      </w:r>
    </w:p>
    <w:tbl>
      <w:tblPr>
        <w:tblStyle w:val="TableGrid"/>
        <w:tblW w:type="auto" w:w="0"/>
        <w:tblLayout w:type="fixed"/>
        <w:tblLook w:firstColumn="1" w:firstRow="1" w:lastColumn="0" w:lastRow="0" w:noHBand="0" w:noVBand="1" w:val="04A0"/>
      </w:tblPr>
      <w:tblGrid>
        <w:gridCol w:w="3041"/>
        <w:gridCol w:w="3041"/>
        <w:gridCol w:w="3041"/>
      </w:tblGrid>
      <w:tr>
        <w:tc>
          <w:tcPr>
            <w:tcW w:type="dxa" w:w="1701"/>
            <w:shd w:val="clear" w:color="auto" w:fill="003366"/>
          </w:tcPr>
          <w:p>
            <w:pPr>
              <w:jc w:val="center"/>
            </w:pPr>
            <w:r>
              <w:rPr>
                <w:rFonts w:ascii="Calibri" w:hAnsi="Calibri"/>
                <w:b/>
                <w:i w:val="0"/>
                <w:color w:val="FFFFFF"/>
                <w:sz w:val="22"/>
              </w:rPr>
              <w:t>Nivel</w:t>
            </w:r>
          </w:p>
        </w:tc>
        <w:tc>
          <w:tcPr>
            <w:tcW w:type="dxa" w:w="1417"/>
            <w:shd w:val="clear" w:color="auto" w:fill="003366"/>
          </w:tcPr>
          <w:p>
            <w:pPr>
              <w:jc w:val="center"/>
            </w:pPr>
            <w:r>
              <w:rPr>
                <w:rFonts w:ascii="Calibri" w:hAnsi="Calibri"/>
                <w:b/>
                <w:i w:val="0"/>
                <w:color w:val="FFFFFF"/>
                <w:sz w:val="22"/>
              </w:rPr>
              <w:t>Color</w:t>
            </w:r>
          </w:p>
        </w:tc>
        <w:tc>
          <w:tcPr>
            <w:tcW w:type="dxa" w:w="5669"/>
            <w:shd w:val="clear" w:color="auto" w:fill="003366"/>
          </w:tcPr>
          <w:p>
            <w:pPr>
              <w:jc w:val="center"/>
            </w:pPr>
            <w:r>
              <w:rPr>
                <w:rFonts w:ascii="Calibri" w:hAnsi="Calibri"/>
                <w:b/>
                <w:i w:val="0"/>
                <w:color w:val="FFFFFF"/>
                <w:sz w:val="22"/>
              </w:rPr>
              <w:t>Criterios de activación</w:t>
            </w:r>
          </w:p>
        </w:tc>
      </w:tr>
      <w:tr>
        <w:tc>
          <w:tcPr>
            <w:tcW w:type="dxa" w:w="1701"/>
            <w:shd w:val="clear" w:color="auto" w:fill="C00000"/>
          </w:tcPr>
          <w:p>
            <w:pPr>
              <w:jc w:val="center"/>
            </w:pPr>
            <w:r>
              <w:rPr>
                <w:rFonts w:ascii="Calibri" w:hAnsi="Calibri"/>
                <w:b/>
                <w:i w:val="0"/>
                <w:color w:val="FFFFFF"/>
                <w:sz w:val="22"/>
              </w:rPr>
              <w:t>CRÍTICO</w:t>
            </w:r>
          </w:p>
        </w:tc>
        <w:tc>
          <w:tcPr>
            <w:tcW w:type="dxa" w:w="1417"/>
          </w:tcPr>
          <w:p>
            <w:pPr>
              <w:jc w:val="center"/>
            </w:pPr>
            <w:r>
              <w:rPr>
                <w:rFonts w:ascii="Calibri" w:hAnsi="Calibri"/>
                <w:b w:val="0"/>
                <w:i w:val="0"/>
                <w:color w:val="C00000"/>
                <w:sz w:val="22"/>
              </w:rPr>
              <w:t>Rojo</w:t>
            </w:r>
          </w:p>
        </w:tc>
        <w:tc>
          <w:tcPr>
            <w:tcW w:type="dxa" w:w="5669"/>
          </w:tcPr>
          <w:p>
            <w:r>
              <w:rPr>
                <w:rFonts w:ascii="Calibri" w:hAnsi="Calibri"/>
                <w:b w:val="0"/>
                <w:i w:val="0"/>
                <w:sz w:val="20"/>
              </w:rPr>
              <w:t>Concentración Adm. &gt;30% | Gasto Remun. &gt;85% | Balance &lt;-5% | Puntaje de riesgo &gt;45</w:t>
            </w:r>
          </w:p>
        </w:tc>
      </w:tr>
      <w:tr>
        <w:tc>
          <w:tcPr>
            <w:tcW w:type="dxa" w:w="1701"/>
            <w:shd w:val="clear" w:color="auto" w:fill="BF8F00"/>
          </w:tcPr>
          <w:p>
            <w:pPr>
              <w:jc w:val="center"/>
            </w:pPr>
            <w:r>
              <w:rPr>
                <w:rFonts w:ascii="Calibri" w:hAnsi="Calibri"/>
                <w:b/>
                <w:i w:val="0"/>
                <w:color w:val="FFFFFF"/>
                <w:sz w:val="22"/>
              </w:rPr>
              <w:t>ALERTA</w:t>
            </w:r>
          </w:p>
        </w:tc>
        <w:tc>
          <w:tcPr>
            <w:tcW w:type="dxa" w:w="1417"/>
          </w:tcPr>
          <w:p>
            <w:pPr>
              <w:jc w:val="center"/>
            </w:pPr>
            <w:r>
              <w:rPr>
                <w:rFonts w:ascii="Calibri" w:hAnsi="Calibri"/>
                <w:b w:val="0"/>
                <w:i w:val="0"/>
                <w:color w:val="BF8F00"/>
                <w:sz w:val="22"/>
              </w:rPr>
              <w:t>Ámbar</w:t>
            </w:r>
          </w:p>
        </w:tc>
        <w:tc>
          <w:tcPr>
            <w:tcW w:type="dxa" w:w="5669"/>
          </w:tcPr>
          <w:p>
            <w:r>
              <w:rPr>
                <w:rFonts w:ascii="Calibri" w:hAnsi="Calibri"/>
                <w:b w:val="0"/>
                <w:i w:val="0"/>
                <w:sz w:val="20"/>
              </w:rPr>
              <w:t>Concentración Adm. &gt;20% | Gasto Remun. &gt;65% | Balance &lt;5%  | Puntaje de riesgo &gt;15</w:t>
            </w:r>
          </w:p>
        </w:tc>
      </w:tr>
      <w:tr>
        <w:tc>
          <w:tcPr>
            <w:tcW w:type="dxa" w:w="1701"/>
            <w:shd w:val="clear" w:color="auto" w:fill="38761D"/>
          </w:tcPr>
          <w:p>
            <w:pPr>
              <w:jc w:val="center"/>
            </w:pPr>
            <w:r>
              <w:rPr>
                <w:rFonts w:ascii="Calibri" w:hAnsi="Calibri"/>
                <w:b/>
                <w:i w:val="0"/>
                <w:color w:val="FFFFFF"/>
                <w:sz w:val="22"/>
              </w:rPr>
              <w:t>OK</w:t>
            </w:r>
          </w:p>
        </w:tc>
        <w:tc>
          <w:tcPr>
            <w:tcW w:type="dxa" w:w="1417"/>
          </w:tcPr>
          <w:p>
            <w:pPr>
              <w:jc w:val="center"/>
            </w:pPr>
            <w:r>
              <w:rPr>
                <w:rFonts w:ascii="Calibri" w:hAnsi="Calibri"/>
                <w:b w:val="0"/>
                <w:i w:val="0"/>
                <w:color w:val="38761D"/>
                <w:sz w:val="22"/>
              </w:rPr>
              <w:t>Verde</w:t>
            </w:r>
          </w:p>
        </w:tc>
        <w:tc>
          <w:tcPr>
            <w:tcW w:type="dxa" w:w="5669"/>
          </w:tcPr>
          <w:p>
            <w:r>
              <w:rPr>
                <w:rFonts w:ascii="Calibri" w:hAnsi="Calibri"/>
                <w:b w:val="0"/>
                <w:i w:val="0"/>
                <w:sz w:val="20"/>
              </w:rPr>
              <w:t>Todos los indicadores dentro de parámetros normales</w:t>
            </w:r>
          </w:p>
        </w:tc>
      </w:tr>
    </w:tbl>
    <w:p/>
    <w:p>
      <w:r>
        <w:br w:type="page"/>
      </w:r>
    </w:p>
    <w:p>
      <w:pPr>
        <w:pStyle w:val="Heading1"/>
        <w:spacing w:before="280" w:after="120"/>
      </w:pPr>
      <w:r>
        <w:rPr>
          <w:color w:val="003366"/>
        </w:rPr>
        <w:t>2.  Perfiles Fiscales — Vista de Sostenedores</w:t>
      </w:r>
    </w:p>
    <w:p>
      <w:pPr>
        <w:spacing w:after="160"/>
      </w:pPr>
      <w:r>
        <w:rPr>
          <w:rFonts w:ascii="Calibri" w:hAnsi="Calibri"/>
          <w:b/>
          <w:i w:val="0"/>
          <w:color w:val="404040"/>
          <w:sz w:val="20"/>
        </w:rPr>
        <w:t xml:space="preserve">Sección: </w:t>
      </w:r>
      <w:r>
        <w:rPr>
          <w:rFonts w:ascii="Calibri" w:hAnsi="Calibri"/>
          <w:b w:val="0"/>
          <w:i w:val="0"/>
          <w:color w:val="0078D7"/>
          <w:sz w:val="20"/>
        </w:rPr>
        <w:t>/sostenedor</w:t>
      </w:r>
    </w:p>
    <w:p>
      <w:pPr>
        <w:pStyle w:val="Heading2"/>
        <w:spacing w:before="280" w:after="120"/>
      </w:pPr>
      <w:r>
        <w:rPr>
          <w:color w:val="0054A6"/>
        </w:rPr>
        <w:t>¿Qué es esta sección?</w:t>
      </w:r>
    </w:p>
    <w:p>
      <w:pPr>
        <w:spacing w:after="120"/>
      </w:pPr>
      <w:r>
        <w:rPr>
          <w:rFonts w:ascii="Calibri" w:hAnsi="Calibri"/>
          <w:b w:val="0"/>
          <w:i w:val="0"/>
          <w:sz w:val="22"/>
        </w:rPr>
        <w:t>Perfiles Fiscales es el directorio central de todos los sostenedores del sistema escolar chileno. Un sostenedor es la entidad (empresa, fundación, municipio u otro organismo) responsable de administrar uno o más establecimientos educacionales. Esta sección le permite buscar, filtrar y revisar en detalle la situación financiera de cualquier sostenedor.</w:t>
      </w:r>
    </w:p>
    <w:p>
      <w:pPr>
        <w:pStyle w:val="Heading2"/>
        <w:spacing w:before="280" w:after="120"/>
      </w:pPr>
      <w:r>
        <w:rPr>
          <w:color w:val="0054A6"/>
        </w:rPr>
        <w:t>¿Qué puede hacer aquí?</w:t>
      </w:r>
    </w:p>
    <w:p>
      <w:pPr>
        <w:spacing w:after="120"/>
      </w:pPr>
      <w:r>
        <w:rPr>
          <w:rFonts w:ascii="Calibri" w:hAnsi="Calibri"/>
          <w:b w:val="0"/>
          <w:i w:val="0"/>
          <w:sz w:val="22"/>
        </w:rPr>
        <w:t>Desde la lista principal podrá:</w:t>
      </w:r>
    </w:p>
    <w:p>
      <w:pPr>
        <w:pStyle w:val="ListBullet"/>
        <w:spacing w:after="60"/>
      </w:pPr>
      <w:r>
        <w:rPr>
          <w:rFonts w:ascii="Calibri" w:hAnsi="Calibri"/>
          <w:b w:val="0"/>
          <w:i w:val="0"/>
          <w:sz w:val="22"/>
        </w:rPr>
        <w:t>Buscar sostenedores por nombre o RUT usando el campo de búsqueda superior.</w:t>
      </w:r>
    </w:p>
    <w:p>
      <w:pPr>
        <w:pStyle w:val="ListBullet"/>
        <w:spacing w:after="60"/>
      </w:pPr>
      <w:r>
        <w:rPr>
          <w:rFonts w:ascii="Calibri" w:hAnsi="Calibri"/>
          <w:b w:val="0"/>
          <w:i w:val="0"/>
          <w:sz w:val="22"/>
        </w:rPr>
        <w:t>Filtrar la lista por región, nivel de riesgo (CRÍTICO, ALERTA, OK) o tipo de dependencia.</w:t>
      </w:r>
    </w:p>
    <w:p>
      <w:pPr>
        <w:pStyle w:val="ListBullet"/>
        <w:spacing w:after="60"/>
      </w:pPr>
      <w:r>
        <w:rPr>
          <w:rFonts w:ascii="Calibri" w:hAnsi="Calibri"/>
          <w:b w:val="0"/>
          <w:i w:val="0"/>
          <w:sz w:val="22"/>
        </w:rPr>
        <w:t>Ver el nivel de riesgo actual de cada sostenedor directamente en la lista.</w:t>
      </w:r>
    </w:p>
    <w:p>
      <w:pPr>
        <w:pStyle w:val="ListBullet"/>
        <w:spacing w:after="60"/>
      </w:pPr>
      <w:r>
        <w:rPr>
          <w:rFonts w:ascii="Calibri" w:hAnsi="Calibri"/>
          <w:b w:val="0"/>
          <w:i w:val="0"/>
          <w:sz w:val="22"/>
        </w:rPr>
        <w:t>Hacer clic en cualquier sostenedor para abrir su perfil financiero completo.</w:t>
      </w:r>
    </w:p>
    <w:p/>
    <w:p>
      <w:pPr>
        <w:pStyle w:val="Heading2"/>
        <w:spacing w:before="280" w:after="120"/>
      </w:pPr>
      <w:r>
        <w:rPr>
          <w:color w:val="0054A6"/>
        </w:rPr>
        <w:t>¿Qué incluye el perfil de cada sostenedor?</w:t>
      </w:r>
    </w:p>
    <w:p>
      <w:pPr>
        <w:spacing w:after="120"/>
      </w:pPr>
      <w:r>
        <w:rPr>
          <w:rFonts w:ascii="Calibri" w:hAnsi="Calibri"/>
          <w:b w:val="0"/>
          <w:i w:val="0"/>
          <w:sz w:val="22"/>
        </w:rPr>
        <w:t>Al ingresar al perfil de un sostenedor, encontrará información organizada en las siguientes secciones:</w:t>
      </w:r>
    </w:p>
    <w:p>
      <w:pPr>
        <w:pStyle w:val="ListBullet"/>
        <w:spacing w:after="60"/>
      </w:pPr>
      <w:r>
        <w:rPr>
          <w:rFonts w:ascii="Calibri" w:hAnsi="Calibri"/>
          <w:b/>
          <w:i w:val="0"/>
          <w:sz w:val="22"/>
        </w:rPr>
        <w:t xml:space="preserve">Datos históricos de ingresos y gastos: </w:t>
      </w:r>
      <w:r>
        <w:rPr>
          <w:rFonts w:ascii="Calibri" w:hAnsi="Calibri"/>
          <w:b w:val="0"/>
          <w:i w:val="0"/>
          <w:sz w:val="22"/>
        </w:rPr>
        <w:t>Gráficos con la evolución anual de los ingresos, gastos y balance del sostenedor. Permiten detectar tendencias, caídas abruptas o gastos crecientes a lo largo del tiempo.</w:t>
      </w:r>
    </w:p>
    <w:p>
      <w:pPr>
        <w:pStyle w:val="ListBullet"/>
        <w:spacing w:after="60"/>
      </w:pPr>
      <w:r>
        <w:rPr>
          <w:rFonts w:ascii="Calibri" w:hAnsi="Calibri"/>
          <w:b/>
          <w:i w:val="0"/>
          <w:sz w:val="22"/>
        </w:rPr>
        <w:t xml:space="preserve">Análisis financiero generado por IA: </w:t>
      </w:r>
      <w:r>
        <w:rPr>
          <w:rFonts w:ascii="Calibri" w:hAnsi="Calibri"/>
          <w:b w:val="0"/>
          <w:i w:val="0"/>
          <w:sz w:val="22"/>
        </w:rPr>
        <w:t>Un resumen narrativo automático que interpreta los datos financieros y señala puntos de atención, patrones inusuales o mejoras respecto a períodos anteriores. Está escrito en lenguaje accesible, sin tecnicismos.</w:t>
      </w:r>
    </w:p>
    <w:p>
      <w:pPr>
        <w:pStyle w:val="ListBullet"/>
        <w:spacing w:after="60"/>
      </w:pPr>
      <w:r>
        <w:rPr>
          <w:rFonts w:ascii="Calibri" w:hAnsi="Calibri"/>
          <w:b/>
          <w:i w:val="0"/>
          <w:sz w:val="22"/>
        </w:rPr>
        <w:t xml:space="preserve">Datos de remuneraciones: </w:t>
      </w:r>
      <w:r>
        <w:rPr>
          <w:rFonts w:ascii="Calibri" w:hAnsi="Calibri"/>
          <w:b w:val="0"/>
          <w:i w:val="0"/>
          <w:sz w:val="22"/>
        </w:rPr>
        <w:t>Detalle del gasto en remuneraciones del personal, incluyendo el porcentaje que representa sobre el total de ingresos (Indicador #9 — Gasto Remuneracional).</w:t>
      </w:r>
    </w:p>
    <w:p>
      <w:pPr>
        <w:pStyle w:val="ListBullet"/>
        <w:spacing w:after="60"/>
      </w:pPr>
      <w:r>
        <w:rPr>
          <w:rFonts w:ascii="Calibri" w:hAnsi="Calibri"/>
          <w:b/>
          <w:i w:val="0"/>
          <w:sz w:val="22"/>
        </w:rPr>
        <w:t xml:space="preserve">Documentos de adquisiciones: </w:t>
      </w:r>
      <w:r>
        <w:rPr>
          <w:rFonts w:ascii="Calibri" w:hAnsi="Calibri"/>
          <w:b w:val="0"/>
          <w:i w:val="0"/>
          <w:sz w:val="22"/>
        </w:rPr>
        <w:t>Listado de documentos de compra y contratación asociados al sostenedor, que permite revisar el gasto en bienes y servicios.</w:t>
      </w:r>
    </w:p>
    <w:p>
      <w:pPr>
        <w:pStyle w:val="ListBullet"/>
        <w:spacing w:after="60"/>
      </w:pPr>
      <w:r>
        <w:rPr>
          <w:rFonts w:ascii="Calibri" w:hAnsi="Calibri"/>
          <w:b/>
          <w:i w:val="0"/>
          <w:sz w:val="22"/>
        </w:rPr>
        <w:t xml:space="preserve">Estadísticas educacionales MINEDUC: </w:t>
      </w:r>
      <w:r>
        <w:rPr>
          <w:rFonts w:ascii="Calibri" w:hAnsi="Calibri"/>
          <w:b w:val="0"/>
          <w:i w:val="0"/>
          <w:sz w:val="22"/>
        </w:rPr>
        <w:t>Datos oficiales sobre matrícula, dotación docente y resultados en el SNED (Sistema Nacional de Evaluación del Desempeño).</w:t>
      </w:r>
    </w:p>
    <w:p>
      <w:pPr>
        <w:pStyle w:val="ListBullet"/>
        <w:spacing w:after="60"/>
      </w:pPr>
      <w:r>
        <w:rPr>
          <w:rFonts w:ascii="Calibri" w:hAnsi="Calibri"/>
          <w:b/>
          <w:i w:val="0"/>
          <w:sz w:val="22"/>
        </w:rPr>
        <w:t xml:space="preserve">Proyecciones financieras: </w:t>
      </w:r>
      <w:r>
        <w:rPr>
          <w:rFonts w:ascii="Calibri" w:hAnsi="Calibri"/>
          <w:b w:val="0"/>
          <w:i w:val="0"/>
          <w:sz w:val="22"/>
        </w:rPr>
        <w:t>Estimaciones de ingresos y gastos futuros basadas en la tendencia histórica del sostenedor.</w:t>
      </w:r>
    </w:p>
    <w:p>
      <w:pPr>
        <w:pStyle w:val="ListBullet"/>
        <w:spacing w:after="60"/>
      </w:pPr>
      <w:r>
        <w:rPr>
          <w:rFonts w:ascii="Calibri" w:hAnsi="Calibri"/>
          <w:b/>
          <w:i w:val="0"/>
          <w:sz w:val="22"/>
        </w:rPr>
        <w:t xml:space="preserve">Estado de acreditación: </w:t>
      </w:r>
      <w:r>
        <w:rPr>
          <w:rFonts w:ascii="Calibri" w:hAnsi="Calibri"/>
          <w:b w:val="0"/>
          <w:i w:val="0"/>
          <w:sz w:val="22"/>
        </w:rPr>
        <w:t>Información sobre el estado vigente de reconocimiento oficial y acreditación del sostenedor.</w:t>
      </w:r>
    </w:p>
    <w:p>
      <w:pPr>
        <w:pStyle w:val="ListBullet"/>
        <w:spacing w:after="60"/>
      </w:pPr>
      <w:r>
        <w:rPr>
          <w:rFonts w:ascii="Calibri" w:hAnsi="Calibri"/>
          <w:b/>
          <w:i w:val="0"/>
          <w:sz w:val="22"/>
        </w:rPr>
        <w:t xml:space="preserve">Chat de preguntas personalizadas: </w:t>
      </w:r>
      <w:r>
        <w:rPr>
          <w:rFonts w:ascii="Calibri" w:hAnsi="Calibri"/>
          <w:b w:val="0"/>
          <w:i w:val="0"/>
          <w:sz w:val="22"/>
        </w:rPr>
        <w:t>Un asistente de IA disponible dentro del perfil al que puede hacerle preguntas específicas sobre este sostenedor, como: "¿Cuál fue el gasto en remuneraciones en 2023?" o "¿Ha tenido este sostenedor déficit en los últimos tres años?"</w:t>
      </w:r>
    </w:p>
    <w:p/>
    <w:p>
      <w:pPr>
        <w:shd w:val="clear" w:color="auto" w:fill="EBF3FB"/>
        <w:spacing w:after="240"/>
        <w:ind w:left="283" w:right="283"/>
      </w:pPr>
      <w:r>
        <w:rPr>
          <w:rFonts w:ascii="Calibri" w:hAnsi="Calibri"/>
          <w:b w:val="0"/>
          <w:i/>
          <w:color w:val="003366"/>
          <w:sz w:val="20"/>
        </w:rPr>
        <w:t>Consejo práctico: Use el chat de preguntas al final del perfil para obtener respuestas rápidas sin necesidad de revisar cada sección manualmente. Puede preguntar en español, con sus propias palabras.</w:t>
      </w:r>
    </w:p>
    <w:p>
      <w:r>
        <w:br w:type="page"/>
      </w:r>
    </w:p>
    <w:p>
      <w:pPr>
        <w:pStyle w:val="Heading1"/>
        <w:spacing w:before="280" w:after="120"/>
      </w:pPr>
      <w:r>
        <w:rPr>
          <w:color w:val="003366"/>
        </w:rPr>
        <w:t>3.  Inteligencia — Panel de Portafolio</w:t>
      </w:r>
    </w:p>
    <w:p>
      <w:pPr>
        <w:spacing w:after="160"/>
      </w:pPr>
      <w:r>
        <w:rPr>
          <w:rFonts w:ascii="Calibri" w:hAnsi="Calibri"/>
          <w:b/>
          <w:i w:val="0"/>
          <w:color w:val="404040"/>
          <w:sz w:val="20"/>
        </w:rPr>
        <w:t xml:space="preserve">Sección: </w:t>
      </w:r>
      <w:r>
        <w:rPr>
          <w:rFonts w:ascii="Calibri" w:hAnsi="Calibri"/>
          <w:b w:val="0"/>
          <w:i w:val="0"/>
          <w:color w:val="0078D7"/>
          <w:sz w:val="20"/>
        </w:rPr>
        <w:t>/intelligence</w:t>
      </w:r>
    </w:p>
    <w:p>
      <w:pPr>
        <w:pStyle w:val="Heading2"/>
        <w:spacing w:before="280" w:after="120"/>
      </w:pPr>
      <w:r>
        <w:rPr>
          <w:color w:val="0054A6"/>
        </w:rPr>
        <w:t>¿Qué es esta sección?</w:t>
      </w:r>
    </w:p>
    <w:p>
      <w:pPr>
        <w:spacing w:after="120"/>
      </w:pPr>
      <w:r>
        <w:rPr>
          <w:rFonts w:ascii="Calibri" w:hAnsi="Calibri"/>
          <w:b w:val="0"/>
          <w:i w:val="0"/>
          <w:sz w:val="22"/>
        </w:rPr>
        <w:t>La sección de Inteligencia es el panel de control estratégico del portal. Mientras que "Perfiles Fiscales" le permite ver un sostenedor a la vez, la sección de Inteligencia ofrece una visión consolidada de todo el portafolio de sostenedores bajo supervisión. Es el punto de partida ideal al comienzo de la jornada laboral para identificar dónde concentrar la atención.</w:t>
      </w:r>
    </w:p>
    <w:p>
      <w:pPr>
        <w:pStyle w:val="Heading2"/>
        <w:spacing w:before="280" w:after="120"/>
      </w:pPr>
      <w:r>
        <w:rPr>
          <w:color w:val="0054A6"/>
        </w:rPr>
        <w:t>Resumen ejecutivo (KPIs)</w:t>
      </w:r>
    </w:p>
    <w:p>
      <w:pPr>
        <w:spacing w:after="120"/>
      </w:pPr>
      <w:r>
        <w:rPr>
          <w:rFonts w:ascii="Calibri" w:hAnsi="Calibri"/>
          <w:b w:val="0"/>
          <w:i w:val="0"/>
          <w:sz w:val="22"/>
        </w:rPr>
        <w:t>En la parte superior de la página encontrará tarjetas de resumen con los indicadores clave del portafolio completo:</w:t>
      </w:r>
    </w:p>
    <w:p>
      <w:pPr>
        <w:pStyle w:val="ListBullet"/>
        <w:spacing w:after="60"/>
      </w:pPr>
      <w:r>
        <w:rPr>
          <w:rFonts w:ascii="Calibri" w:hAnsi="Calibri"/>
          <w:b w:val="0"/>
          <w:i w:val="0"/>
          <w:sz w:val="22"/>
        </w:rPr>
        <w:t>Total de sostenedores activos en el sistema.</w:t>
      </w:r>
    </w:p>
    <w:p>
      <w:pPr>
        <w:pStyle w:val="ListBullet"/>
        <w:spacing w:after="60"/>
      </w:pPr>
      <w:r>
        <w:rPr>
          <w:rFonts w:ascii="Calibri" w:hAnsi="Calibri"/>
          <w:b w:val="0"/>
          <w:i w:val="0"/>
          <w:sz w:val="22"/>
        </w:rPr>
        <w:t>Cantidad de sostenedores en nivel CRÍTICO (requieren atención urgente).</w:t>
      </w:r>
    </w:p>
    <w:p>
      <w:pPr>
        <w:pStyle w:val="ListBullet"/>
        <w:spacing w:after="60"/>
      </w:pPr>
      <w:r>
        <w:rPr>
          <w:rFonts w:ascii="Calibri" w:hAnsi="Calibri"/>
          <w:b w:val="0"/>
          <w:i w:val="0"/>
          <w:sz w:val="22"/>
        </w:rPr>
        <w:t>Cantidad de sostenedores en nivel ALERTA (requieren seguimiento).</w:t>
      </w:r>
    </w:p>
    <w:p>
      <w:pPr>
        <w:pStyle w:val="ListBullet"/>
        <w:spacing w:after="60"/>
      </w:pPr>
      <w:r>
        <w:rPr>
          <w:rFonts w:ascii="Calibri" w:hAnsi="Calibri"/>
          <w:b w:val="0"/>
          <w:i w:val="0"/>
          <w:sz w:val="22"/>
        </w:rPr>
        <w:t>Cantidad de sostenedores en nivel OK.</w:t>
      </w:r>
    </w:p>
    <w:p>
      <w:pPr>
        <w:pStyle w:val="ListBullet"/>
        <w:spacing w:after="60"/>
      </w:pPr>
      <w:r>
        <w:rPr>
          <w:rFonts w:ascii="Calibri" w:hAnsi="Calibri"/>
          <w:b w:val="0"/>
          <w:i w:val="0"/>
          <w:sz w:val="22"/>
        </w:rPr>
        <w:t>Ingresos totales consolidados del portafolio.</w:t>
      </w:r>
    </w:p>
    <w:p>
      <w:pPr>
        <w:pStyle w:val="ListBullet"/>
        <w:spacing w:after="60"/>
      </w:pPr>
      <w:r>
        <w:rPr>
          <w:rFonts w:ascii="Calibri" w:hAnsi="Calibri"/>
          <w:b w:val="0"/>
          <w:i w:val="0"/>
          <w:sz w:val="22"/>
        </w:rPr>
        <w:t>Balance agregado del portafolio.</w:t>
      </w:r>
    </w:p>
    <w:p/>
    <w:p>
      <w:pPr>
        <w:pStyle w:val="Heading2"/>
        <w:spacing w:before="280" w:after="120"/>
      </w:pPr>
      <w:r>
        <w:rPr>
          <w:color w:val="0054A6"/>
        </w:rPr>
        <w:t>Tabla de sostenedores con alertas</w:t>
      </w:r>
    </w:p>
    <w:p>
      <w:pPr>
        <w:spacing w:after="120"/>
      </w:pPr>
      <w:r>
        <w:rPr>
          <w:rFonts w:ascii="Calibri" w:hAnsi="Calibri"/>
          <w:b w:val="0"/>
          <w:i w:val="0"/>
          <w:sz w:val="22"/>
        </w:rPr>
        <w:t>Debajo de los KPIs encontrará una tabla que lista todos los sostenedores marcados con algún nivel de alerta (CRÍTICO o ALERTA), ordenados de mayor a menor riesgo. Para cada sostenedor en la tabla podrá ver:</w:t>
      </w:r>
    </w:p>
    <w:p>
      <w:pPr>
        <w:pStyle w:val="ListBullet"/>
        <w:spacing w:after="60"/>
      </w:pPr>
      <w:r>
        <w:rPr>
          <w:rFonts w:ascii="Calibri" w:hAnsi="Calibri"/>
          <w:b w:val="0"/>
          <w:i w:val="0"/>
          <w:sz w:val="22"/>
        </w:rPr>
        <w:t>Nombre y RUT del sostenedor.</w:t>
      </w:r>
    </w:p>
    <w:p>
      <w:pPr>
        <w:pStyle w:val="ListBullet"/>
        <w:spacing w:after="60"/>
      </w:pPr>
      <w:r>
        <w:rPr>
          <w:rFonts w:ascii="Calibri" w:hAnsi="Calibri"/>
          <w:b w:val="0"/>
          <w:i w:val="0"/>
          <w:sz w:val="22"/>
        </w:rPr>
        <w:t>Puntaje de riesgo calculado automáticamente.</w:t>
      </w:r>
    </w:p>
    <w:p>
      <w:pPr>
        <w:pStyle w:val="ListBullet"/>
        <w:spacing w:after="60"/>
      </w:pPr>
      <w:r>
        <w:rPr>
          <w:rFonts w:ascii="Calibri" w:hAnsi="Calibri"/>
          <w:b w:val="0"/>
          <w:i w:val="0"/>
          <w:sz w:val="22"/>
        </w:rPr>
        <w:t>Nivel de alerta actual (CRÍTICO / ALERTA / OK).</w:t>
      </w:r>
    </w:p>
    <w:p>
      <w:pPr>
        <w:pStyle w:val="ListBullet"/>
        <w:spacing w:after="60"/>
      </w:pPr>
      <w:r>
        <w:rPr>
          <w:rFonts w:ascii="Calibri" w:hAnsi="Calibri"/>
          <w:b w:val="0"/>
          <w:i w:val="0"/>
          <w:sz w:val="22"/>
        </w:rPr>
        <w:t>Valores de los indicadores principales.</w:t>
      </w:r>
    </w:p>
    <w:p>
      <w:pPr>
        <w:pStyle w:val="ListBullet"/>
        <w:spacing w:after="60"/>
      </w:pPr>
      <w:r>
        <w:rPr>
          <w:rFonts w:ascii="Calibri" w:hAnsi="Calibri"/>
          <w:b w:val="0"/>
          <w:i w:val="0"/>
          <w:sz w:val="22"/>
        </w:rPr>
        <w:t>Botón de análisis por IA: genera en segundos un análisis narrativo específico para ese sostenedor.</w:t>
      </w:r>
    </w:p>
    <w:p/>
    <w:p>
      <w:pPr>
        <w:pStyle w:val="Heading2"/>
        <w:spacing w:before="280" w:after="120"/>
      </w:pPr>
      <w:r>
        <w:rPr>
          <w:color w:val="0054A6"/>
        </w:rPr>
        <w:t>Gráfico de distribución de riesgo</w:t>
      </w:r>
    </w:p>
    <w:p>
      <w:pPr>
        <w:spacing w:after="120"/>
      </w:pPr>
      <w:r>
        <w:rPr>
          <w:rFonts w:ascii="Calibri" w:hAnsi="Calibri"/>
          <w:b w:val="0"/>
          <w:i w:val="0"/>
          <w:sz w:val="22"/>
        </w:rPr>
        <w:t>Un gráfico visual que muestra cuántos sostenedores se encuentran en cada nivel de riesgo, permitiendo evaluar rápidamente la salud general del portafolio supervisado.</w:t>
      </w:r>
    </w:p>
    <w:p>
      <w:pPr>
        <w:pStyle w:val="Heading2"/>
        <w:spacing w:before="280" w:after="120"/>
      </w:pPr>
      <w:r>
        <w:rPr>
          <w:color w:val="0054A6"/>
        </w:rPr>
        <w:t>Barras de progreso por indicador</w:t>
      </w:r>
    </w:p>
    <w:p>
      <w:pPr>
        <w:spacing w:after="120"/>
      </w:pPr>
      <w:r>
        <w:rPr>
          <w:rFonts w:ascii="Calibri" w:hAnsi="Calibri"/>
          <w:b w:val="0"/>
          <w:i w:val="0"/>
          <w:sz w:val="22"/>
        </w:rPr>
        <w:t>Barras visuales que muestran el cumplimiento agregado de tres indicadores clave a nivel de portafolio:</w:t>
      </w:r>
    </w:p>
    <w:p>
      <w:pPr>
        <w:pStyle w:val="ListBullet"/>
        <w:spacing w:after="60"/>
      </w:pPr>
      <w:r>
        <w:rPr>
          <w:rFonts w:ascii="Calibri" w:hAnsi="Calibri"/>
          <w:b w:val="0"/>
          <w:i w:val="0"/>
          <w:sz w:val="22"/>
        </w:rPr>
        <w:t>#4 Concentración Administrativa: cuántos sostenedores superan el umbral de gasto administrativo.</w:t>
      </w:r>
    </w:p>
    <w:p>
      <w:pPr>
        <w:pStyle w:val="ListBullet"/>
        <w:spacing w:after="60"/>
      </w:pPr>
      <w:r>
        <w:rPr>
          <w:rFonts w:ascii="Calibri" w:hAnsi="Calibri"/>
          <w:b w:val="0"/>
          <w:i w:val="0"/>
          <w:sz w:val="22"/>
        </w:rPr>
        <w:t>#9 Gasto Remuneracional: distribución del ratio de gasto en remuneraciones sobre el portafolio.</w:t>
      </w:r>
    </w:p>
    <w:p>
      <w:pPr>
        <w:pStyle w:val="ListBullet"/>
        <w:spacing w:after="60"/>
      </w:pPr>
      <w:r>
        <w:rPr>
          <w:rFonts w:ascii="Calibri" w:hAnsi="Calibri"/>
          <w:b w:val="0"/>
          <w:i w:val="0"/>
          <w:sz w:val="22"/>
        </w:rPr>
        <w:t>Balance general: porcentaje de sostenedores con balance negativo o positivo.</w:t>
      </w:r>
    </w:p>
    <w:p/>
    <w:p>
      <w:pPr>
        <w:pStyle w:val="Heading2"/>
        <w:spacing w:before="280" w:after="120"/>
      </w:pPr>
      <w:r>
        <w:rPr>
          <w:color w:val="0054A6"/>
        </w:rPr>
        <w:t>Análisis profundo generado por IA</w:t>
      </w:r>
    </w:p>
    <w:p>
      <w:pPr>
        <w:spacing w:after="120"/>
      </w:pPr>
      <w:r>
        <w:rPr>
          <w:rFonts w:ascii="Calibri" w:hAnsi="Calibri"/>
          <w:b w:val="0"/>
          <w:i w:val="0"/>
          <w:sz w:val="22"/>
        </w:rPr>
        <w:t>Esta es una de las funciones más potentes del portal. Al abrir la página de Inteligencia, el sistema ejecuta automáticamente un análisis de todo el portafolio y genera un informe narrativo con:</w:t>
      </w:r>
    </w:p>
    <w:p>
      <w:pPr>
        <w:pStyle w:val="ListBullet"/>
        <w:spacing w:after="60"/>
      </w:pPr>
      <w:r>
        <w:rPr>
          <w:rFonts w:ascii="Calibri" w:hAnsi="Calibri"/>
          <w:b w:val="0"/>
          <w:i w:val="0"/>
          <w:sz w:val="22"/>
        </w:rPr>
        <w:t>Diagnóstico estratégico de la situación financiera del portafolio.</w:t>
      </w:r>
    </w:p>
    <w:p>
      <w:pPr>
        <w:pStyle w:val="ListBullet"/>
        <w:spacing w:after="60"/>
      </w:pPr>
      <w:r>
        <w:rPr>
          <w:rFonts w:ascii="Calibri" w:hAnsi="Calibri"/>
          <w:b w:val="0"/>
          <w:i w:val="0"/>
          <w:sz w:val="22"/>
        </w:rPr>
        <w:t>Identificación de patrones de riesgo sistémico.</w:t>
      </w:r>
    </w:p>
    <w:p>
      <w:pPr>
        <w:pStyle w:val="ListBullet"/>
        <w:spacing w:after="60"/>
      </w:pPr>
      <w:r>
        <w:rPr>
          <w:rFonts w:ascii="Calibri" w:hAnsi="Calibri"/>
          <w:b w:val="0"/>
          <w:i w:val="0"/>
          <w:sz w:val="22"/>
        </w:rPr>
        <w:t>Sostenedores que requieren atención prioritaria.</w:t>
      </w:r>
    </w:p>
    <w:p>
      <w:pPr>
        <w:pStyle w:val="ListBullet"/>
        <w:spacing w:after="60"/>
      </w:pPr>
      <w:r>
        <w:rPr>
          <w:rFonts w:ascii="Calibri" w:hAnsi="Calibri"/>
          <w:b w:val="0"/>
          <w:i w:val="0"/>
          <w:sz w:val="22"/>
        </w:rPr>
        <w:t>Tendencias y proyecciones observadas.</w:t>
      </w:r>
    </w:p>
    <w:p>
      <w:pPr>
        <w:pStyle w:val="ListBullet"/>
        <w:spacing w:after="60"/>
      </w:pPr>
      <w:r>
        <w:rPr>
          <w:rFonts w:ascii="Calibri" w:hAnsi="Calibri"/>
          <w:b w:val="0"/>
          <w:i w:val="0"/>
          <w:sz w:val="22"/>
        </w:rPr>
        <w:t>Recomendaciones para focalizar la supervisión.</w:t>
      </w:r>
    </w:p>
    <w:p/>
    <w:p>
      <w:pPr>
        <w:spacing w:after="120"/>
      </w:pPr>
      <w:r>
        <w:rPr>
          <w:rFonts w:ascii="Calibri" w:hAnsi="Calibri"/>
          <w:b w:val="0"/>
          <w:i w:val="0"/>
          <w:sz w:val="22"/>
        </w:rPr>
        <w:t>Este análisis se genera con streaming en tiempo real: el texto aparece progresivamente en pantalla, de forma similar a cuando escribe un mensaje. No es necesario esperar a que termine para comenzar a leer.</w:t>
      </w:r>
    </w:p>
    <w:p>
      <w:pPr>
        <w:pStyle w:val="Heading2"/>
        <w:spacing w:before="280" w:after="120"/>
      </w:pPr>
      <w:r>
        <w:rPr>
          <w:color w:val="0054A6"/>
        </w:rPr>
        <w:t>Gráficos financieros por región y dependencia</w:t>
      </w:r>
    </w:p>
    <w:p>
      <w:pPr>
        <w:spacing w:after="120"/>
      </w:pPr>
      <w:r>
        <w:rPr>
          <w:rFonts w:ascii="Calibri" w:hAnsi="Calibri"/>
          <w:b w:val="0"/>
          <w:i w:val="0"/>
          <w:sz w:val="22"/>
        </w:rPr>
        <w:t>Una serie de gráficos comparativos que permiten segmentar los datos financieros por:</w:t>
      </w:r>
    </w:p>
    <w:p>
      <w:pPr>
        <w:pStyle w:val="ListBullet"/>
        <w:spacing w:after="60"/>
      </w:pPr>
      <w:r>
        <w:rPr>
          <w:rFonts w:ascii="Calibri" w:hAnsi="Calibri"/>
          <w:b w:val="0"/>
          <w:i w:val="0"/>
          <w:sz w:val="22"/>
        </w:rPr>
        <w:t>Región geográfica: compare el desempeño financiero entre regiones.</w:t>
      </w:r>
    </w:p>
    <w:p>
      <w:pPr>
        <w:pStyle w:val="ListBullet"/>
        <w:spacing w:after="60"/>
      </w:pPr>
      <w:r>
        <w:rPr>
          <w:rFonts w:ascii="Calibri" w:hAnsi="Calibri"/>
          <w:b w:val="0"/>
          <w:i w:val="0"/>
          <w:sz w:val="22"/>
        </w:rPr>
        <w:t>Tipo de dependencia: municipal, particular subvencionado, administración delegada.</w:t>
      </w:r>
    </w:p>
    <w:p>
      <w:pPr>
        <w:pStyle w:val="ListBullet"/>
        <w:spacing w:after="60"/>
      </w:pPr>
      <w:r>
        <w:rPr>
          <w:rFonts w:ascii="Calibri" w:hAnsi="Calibri"/>
          <w:b w:val="0"/>
          <w:i w:val="0"/>
          <w:sz w:val="22"/>
        </w:rPr>
        <w:t>Período: evolución en el tiempo de los principales indicadores.</w:t>
      </w:r>
    </w:p>
    <w:p>
      <w:pPr>
        <w:pStyle w:val="Heading2"/>
        <w:spacing w:before="280" w:after="120"/>
      </w:pPr>
      <w:r>
        <w:rPr>
          <w:color w:val="0054A6"/>
        </w:rPr>
        <w:t>Sección de remuneraciones</w:t>
      </w:r>
    </w:p>
    <w:p>
      <w:pPr>
        <w:spacing w:after="120"/>
      </w:pPr>
      <w:r>
        <w:rPr>
          <w:rFonts w:ascii="Calibri" w:hAnsi="Calibri"/>
          <w:b w:val="0"/>
          <w:i w:val="0"/>
          <w:sz w:val="22"/>
        </w:rPr>
        <w:t>Una vista específica del gasto remuneracional que incluye:</w:t>
      </w:r>
    </w:p>
    <w:p>
      <w:pPr>
        <w:pStyle w:val="ListBullet"/>
        <w:spacing w:after="60"/>
      </w:pPr>
      <w:r>
        <w:rPr>
          <w:rFonts w:ascii="Calibri" w:hAnsi="Calibri"/>
          <w:b w:val="0"/>
          <w:i w:val="0"/>
          <w:sz w:val="22"/>
        </w:rPr>
        <w:t>Ratio de gasto en remuneraciones por región.</w:t>
      </w:r>
    </w:p>
    <w:p>
      <w:pPr>
        <w:pStyle w:val="ListBullet"/>
        <w:spacing w:after="60"/>
      </w:pPr>
      <w:r>
        <w:rPr>
          <w:rFonts w:ascii="Calibri" w:hAnsi="Calibri"/>
          <w:b w:val="0"/>
          <w:i w:val="0"/>
          <w:sz w:val="22"/>
        </w:rPr>
        <w:t>Listado de los sostenedores con mayor riesgo remuneracional (los que más se acercan o superan el umbral del 85%).</w:t>
      </w:r>
    </w:p>
    <w:p>
      <w:pPr>
        <w:pStyle w:val="Heading2"/>
        <w:spacing w:before="280" w:after="120"/>
      </w:pPr>
      <w:r>
        <w:rPr>
          <w:color w:val="0054A6"/>
        </w:rPr>
        <w:t>Desglose por tipo de documento</w:t>
      </w:r>
    </w:p>
    <w:p>
      <w:pPr>
        <w:spacing w:after="120"/>
      </w:pPr>
      <w:r>
        <w:rPr>
          <w:rFonts w:ascii="Calibri" w:hAnsi="Calibri"/>
          <w:b w:val="0"/>
          <w:i w:val="0"/>
          <w:sz w:val="22"/>
        </w:rPr>
        <w:t>Análisis de los documentos de adquisiciones y contrataciones del portafolio, clasificados por tipo de documento (facturas, contratos, órdenes de compra, etc.).</w:t>
      </w:r>
    </w:p>
    <w:p>
      <w:pPr>
        <w:pStyle w:val="Heading2"/>
        <w:spacing w:before="280" w:after="120"/>
      </w:pPr>
      <w:r>
        <w:rPr>
          <w:color w:val="0054A6"/>
        </w:rPr>
        <w:t>Chat de portafolio</w:t>
      </w:r>
    </w:p>
    <w:p>
      <w:pPr>
        <w:spacing w:after="120"/>
      </w:pPr>
      <w:r>
        <w:rPr>
          <w:rFonts w:ascii="Calibri" w:hAnsi="Calibri"/>
          <w:b w:val="0"/>
          <w:i w:val="0"/>
          <w:sz w:val="22"/>
        </w:rPr>
        <w:t>Al igual que en los perfiles individuales, la sección de Inteligencia incluye un chat de IA para hacer preguntas sobre el portafolio completo. Ejemplos de preguntas útiles:</w:t>
      </w:r>
    </w:p>
    <w:p>
      <w:pPr>
        <w:pStyle w:val="ListBullet"/>
        <w:spacing w:after="60"/>
      </w:pPr>
      <w:r>
        <w:rPr>
          <w:rFonts w:ascii="Calibri" w:hAnsi="Calibri"/>
          <w:b w:val="0"/>
          <w:i w:val="0"/>
          <w:sz w:val="22"/>
        </w:rPr>
        <w:t>"¿Cuántos sostenedores de la Región Metropolitana están en estado CRÍTICO?"</w:t>
      </w:r>
    </w:p>
    <w:p>
      <w:pPr>
        <w:pStyle w:val="ListBullet"/>
        <w:spacing w:after="60"/>
      </w:pPr>
      <w:r>
        <w:rPr>
          <w:rFonts w:ascii="Calibri" w:hAnsi="Calibri"/>
          <w:b w:val="0"/>
          <w:i w:val="0"/>
          <w:sz w:val="22"/>
        </w:rPr>
        <w:t>"¿Qué regiones presentan mayor concentración de riesgo remuneracional?"</w:t>
      </w:r>
    </w:p>
    <w:p>
      <w:pPr>
        <w:pStyle w:val="ListBullet"/>
        <w:spacing w:after="60"/>
      </w:pPr>
      <w:r>
        <w:rPr>
          <w:rFonts w:ascii="Calibri" w:hAnsi="Calibri"/>
          <w:b w:val="0"/>
          <w:i w:val="0"/>
          <w:sz w:val="22"/>
        </w:rPr>
        <w:t>"¿Cuál fue la evolución del balance promedio del portafolio en los últimos 3 años?"</w:t>
      </w:r>
    </w:p>
    <w:p/>
    <w:p>
      <w:pPr>
        <w:shd w:val="clear" w:color="auto" w:fill="FFF2CC"/>
        <w:spacing w:after="240"/>
        <w:ind w:left="283" w:right="283"/>
      </w:pPr>
      <w:r>
        <w:rPr>
          <w:rFonts w:ascii="Calibri" w:hAnsi="Calibri"/>
          <w:b w:val="0"/>
          <w:i/>
          <w:color w:val="663300"/>
          <w:sz w:val="20"/>
        </w:rPr>
        <w:t>Recomendación: La sección de Inteligencia es ideal para preparar informes ejecutivos o reuniones de coordinación. El análisis profundo generado por IA puede copiarse directamente como base para un memorándum o presentación.</w:t>
      </w:r>
    </w:p>
    <w:p>
      <w:r>
        <w:br w:type="page"/>
      </w:r>
    </w:p>
    <w:p>
      <w:pPr>
        <w:pStyle w:val="Heading1"/>
        <w:spacing w:before="280" w:after="120"/>
      </w:pPr>
      <w:r>
        <w:rPr>
          <w:color w:val="003366"/>
        </w:rPr>
        <w:t>4.  Milo AI — Asistente de Inteligencia Artificial</w:t>
      </w:r>
    </w:p>
    <w:p>
      <w:pPr>
        <w:spacing w:after="160"/>
      </w:pPr>
      <w:r>
        <w:rPr>
          <w:rFonts w:ascii="Calibri" w:hAnsi="Calibri"/>
          <w:b/>
          <w:i w:val="0"/>
          <w:color w:val="404040"/>
          <w:sz w:val="20"/>
        </w:rPr>
        <w:t xml:space="preserve">Sección: </w:t>
      </w:r>
      <w:r>
        <w:rPr>
          <w:rFonts w:ascii="Calibri" w:hAnsi="Calibri"/>
          <w:b w:val="0"/>
          <w:i w:val="0"/>
          <w:color w:val="0078D7"/>
          <w:sz w:val="20"/>
        </w:rPr>
        <w:t>/milo</w:t>
      </w:r>
    </w:p>
    <w:p>
      <w:pPr>
        <w:pStyle w:val="Heading2"/>
        <w:spacing w:before="280" w:after="120"/>
      </w:pPr>
      <w:r>
        <w:rPr>
          <w:color w:val="0054A6"/>
        </w:rPr>
        <w:t>¿Qué es Milo AI?</w:t>
      </w:r>
    </w:p>
    <w:p>
      <w:pPr>
        <w:spacing w:after="120"/>
      </w:pPr>
      <w:r>
        <w:rPr>
          <w:rFonts w:ascii="Calibri" w:hAnsi="Calibri"/>
          <w:b w:val="0"/>
          <w:i w:val="0"/>
          <w:sz w:val="22"/>
        </w:rPr>
        <w:t>Milo AI es el asistente de inteligencia artificial especializado del portal. Se puede pensar en él como un analista experto disponible en todo momento, capaz de responder preguntas sobre normativa educacional, metodología de indicadores y también consultar directamente la base de datos del sistema para obtener respuestas basadas en datos reales.</w:t>
      </w:r>
    </w:p>
    <w:p>
      <w:pPr>
        <w:spacing w:after="120"/>
      </w:pPr>
      <w:r>
        <w:rPr>
          <w:rFonts w:ascii="Calibri" w:hAnsi="Calibri"/>
          <w:b w:val="0"/>
          <w:i w:val="0"/>
          <w:sz w:val="22"/>
        </w:rPr>
        <w:t>A diferencia de los chats de IA integrados en las secciones de Perfiles e Inteligencia, Milo AI es una herramienta de propósito general que combina tres tipos de conocimiento:</w:t>
      </w:r>
    </w:p>
    <w:p>
      <w:pPr>
        <w:pStyle w:val="ListBullet"/>
        <w:spacing w:after="60"/>
      </w:pPr>
      <w:r>
        <w:rPr>
          <w:rFonts w:ascii="Calibri" w:hAnsi="Calibri"/>
          <w:b/>
          <w:i w:val="0"/>
          <w:sz w:val="22"/>
        </w:rPr>
        <w:t xml:space="preserve">1. </w:t>
      </w:r>
      <w:r>
        <w:rPr>
          <w:rFonts w:ascii="Calibri" w:hAnsi="Calibri"/>
          <w:b w:val="0"/>
          <w:i w:val="0"/>
          <w:sz w:val="22"/>
        </w:rPr>
        <w:t>Normativa y regulación</w:t>
      </w:r>
    </w:p>
    <w:p>
      <w:pPr>
        <w:pStyle w:val="ListBullet"/>
        <w:spacing w:after="60"/>
      </w:pPr>
      <w:r>
        <w:rPr>
          <w:rFonts w:ascii="Calibri" w:hAnsi="Calibri"/>
          <w:b/>
          <w:i w:val="0"/>
          <w:sz w:val="22"/>
        </w:rPr>
        <w:t xml:space="preserve">2. </w:t>
      </w:r>
      <w:r>
        <w:rPr>
          <w:rFonts w:ascii="Calibri" w:hAnsi="Calibri"/>
          <w:b w:val="0"/>
          <w:i w:val="0"/>
          <w:sz w:val="22"/>
        </w:rPr>
        <w:t>Metodología de indicadores SIE</w:t>
      </w:r>
    </w:p>
    <w:p>
      <w:pPr>
        <w:pStyle w:val="ListBullet"/>
        <w:spacing w:after="60"/>
      </w:pPr>
      <w:r>
        <w:rPr>
          <w:rFonts w:ascii="Calibri" w:hAnsi="Calibri"/>
          <w:b/>
          <w:i w:val="0"/>
          <w:sz w:val="22"/>
        </w:rPr>
        <w:t xml:space="preserve">3. </w:t>
      </w:r>
      <w:r>
        <w:rPr>
          <w:rFonts w:ascii="Calibri" w:hAnsi="Calibri"/>
          <w:b w:val="0"/>
          <w:i w:val="0"/>
          <w:sz w:val="22"/>
        </w:rPr>
        <w:t>Datos reales del sistema (consulta en vivo a la base de datos)</w:t>
      </w:r>
    </w:p>
    <w:p/>
    <w:p>
      <w:pPr>
        <w:pStyle w:val="Heading2"/>
        <w:spacing w:before="280" w:after="120"/>
      </w:pPr>
      <w:r>
        <w:rPr>
          <w:color w:val="0054A6"/>
        </w:rPr>
        <w:t>¿Qué puede preguntarle a Milo AI?</w:t>
      </w:r>
    </w:p>
    <w:p>
      <w:pPr>
        <w:spacing w:after="120"/>
      </w:pPr>
      <w:r>
        <w:rPr>
          <w:rFonts w:ascii="Calibri" w:hAnsi="Calibri"/>
          <w:b w:val="0"/>
          <w:i w:val="0"/>
          <w:sz w:val="22"/>
        </w:rPr>
        <w:t>Milo AI puede responder tres grandes tipos de preguntas:</w:t>
      </w:r>
    </w:p>
    <w:p>
      <w:pPr>
        <w:spacing w:after="120"/>
      </w:pPr>
      <w:r>
        <w:rPr>
          <w:rFonts w:ascii="Calibri" w:hAnsi="Calibri"/>
          <w:b w:val="0"/>
          <w:i w:val="0"/>
          <w:sz w:val="22"/>
        </w:rPr>
        <w:t>Preguntas sobre normativa educacional:</w:t>
      </w:r>
    </w:p>
    <w:p>
      <w:pPr>
        <w:pStyle w:val="ListBullet"/>
        <w:spacing w:after="60"/>
      </w:pPr>
      <w:r>
        <w:rPr>
          <w:rFonts w:ascii="Calibri" w:hAnsi="Calibri"/>
          <w:b w:val="0"/>
          <w:i w:val="0"/>
          <w:sz w:val="22"/>
        </w:rPr>
        <w:t>"¿Cuáles son los requisitos para que un sostenedor mantenga su reconocimiento oficial?"</w:t>
      </w:r>
    </w:p>
    <w:p>
      <w:pPr>
        <w:pStyle w:val="ListBullet"/>
        <w:spacing w:after="60"/>
      </w:pPr>
      <w:r>
        <w:rPr>
          <w:rFonts w:ascii="Calibri" w:hAnsi="Calibri"/>
          <w:b w:val="0"/>
          <w:i w:val="0"/>
          <w:sz w:val="22"/>
        </w:rPr>
        <w:t>"¿Qué dice la Ley SEP sobre el uso de los recursos de subvención?"</w:t>
      </w:r>
    </w:p>
    <w:p>
      <w:pPr>
        <w:pStyle w:val="ListBullet"/>
        <w:spacing w:after="60"/>
      </w:pPr>
      <w:r>
        <w:rPr>
          <w:rFonts w:ascii="Calibri" w:hAnsi="Calibri"/>
          <w:b w:val="0"/>
          <w:i w:val="0"/>
          <w:sz w:val="22"/>
        </w:rPr>
        <w:t>"¿Cómo se calcula el SNED y qué impacto tiene en el financiamiento?"</w:t>
      </w:r>
    </w:p>
    <w:p/>
    <w:p>
      <w:pPr>
        <w:spacing w:after="120"/>
      </w:pPr>
      <w:r>
        <w:rPr>
          <w:rFonts w:ascii="Calibri" w:hAnsi="Calibri"/>
          <w:b w:val="0"/>
          <w:i w:val="0"/>
          <w:sz w:val="22"/>
        </w:rPr>
        <w:t>Preguntas sobre indicadores SIE y metodología:</w:t>
      </w:r>
    </w:p>
    <w:p>
      <w:pPr>
        <w:pStyle w:val="ListBullet"/>
        <w:spacing w:after="60"/>
      </w:pPr>
      <w:r>
        <w:rPr>
          <w:rFonts w:ascii="Calibri" w:hAnsi="Calibri"/>
          <w:b w:val="0"/>
          <w:i w:val="0"/>
          <w:sz w:val="22"/>
        </w:rPr>
        <w:t>"¿Cómo se calcula el Indicador #4 de Concentración Administrativa?"</w:t>
      </w:r>
    </w:p>
    <w:p>
      <w:pPr>
        <w:pStyle w:val="ListBullet"/>
        <w:spacing w:after="60"/>
      </w:pPr>
      <w:r>
        <w:rPr>
          <w:rFonts w:ascii="Calibri" w:hAnsi="Calibri"/>
          <w:b w:val="0"/>
          <w:i w:val="0"/>
          <w:sz w:val="22"/>
        </w:rPr>
        <w:t>"¿Qué umbrales determinan el nivel CRÍTICO en el Indicador #9?"</w:t>
      </w:r>
    </w:p>
    <w:p>
      <w:pPr>
        <w:pStyle w:val="ListBullet"/>
        <w:spacing w:after="60"/>
      </w:pPr>
      <w:r>
        <w:rPr>
          <w:rFonts w:ascii="Calibri" w:hAnsi="Calibri"/>
          <w:b w:val="0"/>
          <w:i w:val="0"/>
          <w:sz w:val="22"/>
        </w:rPr>
        <w:t>"¿Qué documentos respaldan la metodología del índice HHI?"</w:t>
      </w:r>
    </w:p>
    <w:p/>
    <w:p>
      <w:pPr>
        <w:spacing w:after="120"/>
      </w:pPr>
      <w:r>
        <w:rPr>
          <w:rFonts w:ascii="Calibri" w:hAnsi="Calibri"/>
          <w:b w:val="0"/>
          <w:i w:val="0"/>
          <w:sz w:val="22"/>
        </w:rPr>
        <w:t>Preguntas sobre datos reales (el sistema consulta la base de datos automáticamente):</w:t>
      </w:r>
    </w:p>
    <w:p>
      <w:pPr>
        <w:pStyle w:val="ListBullet"/>
        <w:spacing w:after="60"/>
      </w:pPr>
      <w:r>
        <w:rPr>
          <w:rFonts w:ascii="Calibri" w:hAnsi="Calibri"/>
          <w:b w:val="0"/>
          <w:i w:val="0"/>
          <w:sz w:val="22"/>
        </w:rPr>
        <w:t>"¿Qué sostenedores tienen un gasto remuneracional superior al 80%?"</w:t>
      </w:r>
    </w:p>
    <w:p>
      <w:pPr>
        <w:pStyle w:val="ListBullet"/>
        <w:spacing w:after="60"/>
      </w:pPr>
      <w:r>
        <w:rPr>
          <w:rFonts w:ascii="Calibri" w:hAnsi="Calibri"/>
          <w:b w:val="0"/>
          <w:i w:val="0"/>
          <w:sz w:val="22"/>
        </w:rPr>
        <w:t>"Muéstrame la evolución de ingresos de la Región Metropolitana en los últimos 3 años."</w:t>
      </w:r>
    </w:p>
    <w:p>
      <w:pPr>
        <w:pStyle w:val="ListBullet"/>
        <w:spacing w:after="60"/>
      </w:pPr>
      <w:r>
        <w:rPr>
          <w:rFonts w:ascii="Calibri" w:hAnsi="Calibri"/>
          <w:b w:val="0"/>
          <w:i w:val="0"/>
          <w:sz w:val="22"/>
        </w:rPr>
        <w:t>"¿Cuántos sostenedores del tipo particular subvencionado están en estado CRÍTICO?"</w:t>
      </w:r>
    </w:p>
    <w:p>
      <w:pPr>
        <w:pStyle w:val="ListBullet"/>
        <w:spacing w:after="60"/>
      </w:pPr>
      <w:r>
        <w:rPr>
          <w:rFonts w:ascii="Calibri" w:hAnsi="Calibri"/>
          <w:b w:val="0"/>
          <w:i w:val="0"/>
          <w:sz w:val="22"/>
        </w:rPr>
        <w:t>"Lista los 10 sostenedores con mayor déficit de balance."</w:t>
      </w:r>
    </w:p>
    <w:p/>
    <w:p>
      <w:pPr>
        <w:pStyle w:val="Heading2"/>
        <w:spacing w:before="280" w:after="120"/>
      </w:pPr>
      <w:r>
        <w:rPr>
          <w:color w:val="0054A6"/>
        </w:rPr>
        <w:t>Documentos de referencia disponibles</w:t>
      </w:r>
    </w:p>
    <w:p>
      <w:pPr>
        <w:spacing w:after="120"/>
      </w:pPr>
      <w:r>
        <w:rPr>
          <w:rFonts w:ascii="Calibri" w:hAnsi="Calibri"/>
          <w:b w:val="0"/>
          <w:i w:val="0"/>
          <w:sz w:val="22"/>
        </w:rPr>
        <w:t>Milo AI tiene acceso a los siguientes documentos oficiales que utiliza como fuente de referencia al responder preguntas normativas:</w:t>
      </w:r>
    </w:p>
    <w:p>
      <w:pPr>
        <w:pStyle w:val="ListBullet"/>
        <w:spacing w:after="60"/>
      </w:pPr>
      <w:r>
        <w:rPr>
          <w:rFonts w:ascii="Calibri" w:hAnsi="Calibri"/>
          <w:b w:val="0"/>
          <w:i w:val="0"/>
          <w:sz w:val="22"/>
        </w:rPr>
        <w:t>Guía técnica SIE de indicadores financieros.</w:t>
      </w:r>
    </w:p>
    <w:p>
      <w:pPr>
        <w:pStyle w:val="ListBullet"/>
        <w:spacing w:after="60"/>
      </w:pPr>
      <w:r>
        <w:rPr>
          <w:rFonts w:ascii="Calibri" w:hAnsi="Calibri"/>
          <w:b w:val="0"/>
          <w:i w:val="0"/>
          <w:sz w:val="22"/>
        </w:rPr>
        <w:t>Propuesta metodológica de indicadores de alerta temprana.</w:t>
      </w:r>
    </w:p>
    <w:p>
      <w:pPr>
        <w:pStyle w:val="ListBullet"/>
        <w:spacing w:after="60"/>
      </w:pPr>
      <w:r>
        <w:rPr>
          <w:rFonts w:ascii="Calibri" w:hAnsi="Calibri"/>
          <w:b w:val="0"/>
          <w:i w:val="0"/>
          <w:sz w:val="22"/>
        </w:rPr>
        <w:t>Normativa MINEDUC aplicable a la supervisión financiera de sostenedores.</w:t>
      </w:r>
    </w:p>
    <w:p>
      <w:pPr>
        <w:pStyle w:val="ListBullet"/>
        <w:spacing w:after="60"/>
      </w:pPr>
      <w:r>
        <w:rPr>
          <w:rFonts w:ascii="Calibri" w:hAnsi="Calibri"/>
          <w:b w:val="0"/>
          <w:i w:val="0"/>
          <w:sz w:val="22"/>
        </w:rPr>
        <w:t>Criterios de reconocimiento oficial y acreditación.</w:t>
      </w:r>
    </w:p>
    <w:p/>
    <w:p>
      <w:pPr>
        <w:pStyle w:val="Heading2"/>
        <w:spacing w:before="280" w:after="120"/>
      </w:pPr>
      <w:r>
        <w:rPr>
          <w:color w:val="0054A6"/>
        </w:rPr>
        <w:t>¿Cómo usar Milo AI?</w:t>
      </w:r>
    </w:p>
    <w:p>
      <w:pPr>
        <w:spacing w:after="120"/>
      </w:pPr>
      <w:r>
        <w:rPr>
          <w:rFonts w:ascii="Calibri" w:hAnsi="Calibri"/>
          <w:b w:val="0"/>
          <w:i w:val="0"/>
          <w:sz w:val="22"/>
        </w:rPr>
        <w:t>El uso de Milo AI es muy simple: escriba su pregunta en el campo de texto en la parte inferior de la pantalla y presione Enter (o el botón de envío). El asistente procesará su consulta y responderá en segundos. Si la pregunta requiere consultar datos de la base de datos, Milo ejecutará automáticamente la búsqueda y presentará los resultados junto con la explicación correspondiente.</w:t>
      </w:r>
    </w:p>
    <w:p/>
    <w:p>
      <w:pPr>
        <w:shd w:val="clear" w:color="auto" w:fill="E2EFDA"/>
        <w:spacing w:after="240"/>
        <w:ind w:left="283" w:right="283"/>
      </w:pPr>
      <w:r>
        <w:rPr>
          <w:rFonts w:ascii="Calibri" w:hAnsi="Calibri"/>
          <w:b w:val="0"/>
          <w:i/>
          <w:color w:val="274E13"/>
          <w:sz w:val="20"/>
        </w:rPr>
        <w:t>Importante: Milo AI está diseñado para responder preguntas relacionadas con la supervisión financiera educacional. Sus respuestas sobre normativa se basan en los documentos oficiales cargados en el sistema. Para preguntas de datos, el sistema accede directamente a la base de datos actualizada del portal.</w:t>
      </w:r>
    </w:p>
    <w:p>
      <w:r>
        <w:br w:type="page"/>
      </w:r>
    </w:p>
    <w:p>
      <w:pPr>
        <w:pStyle w:val="Heading1"/>
        <w:spacing w:before="280" w:after="120"/>
      </w:pPr>
      <w:r>
        <w:rPr>
          <w:color w:val="003366"/>
        </w:rPr>
        <w:t>5.  Alertas — Notificaciones y Seguimiento</w:t>
      </w:r>
    </w:p>
    <w:p>
      <w:pPr>
        <w:spacing w:after="160"/>
      </w:pPr>
      <w:r>
        <w:rPr>
          <w:rFonts w:ascii="Calibri" w:hAnsi="Calibri"/>
          <w:b/>
          <w:i w:val="0"/>
          <w:color w:val="404040"/>
          <w:sz w:val="20"/>
        </w:rPr>
        <w:t xml:space="preserve">Sección: </w:t>
      </w:r>
      <w:r>
        <w:rPr>
          <w:rFonts w:ascii="Calibri" w:hAnsi="Calibri"/>
          <w:b w:val="0"/>
          <w:i w:val="0"/>
          <w:color w:val="0078D7"/>
          <w:sz w:val="20"/>
        </w:rPr>
        <w:t>/alertas</w:t>
      </w:r>
    </w:p>
    <w:p>
      <w:pPr>
        <w:pStyle w:val="Heading2"/>
        <w:spacing w:before="280" w:after="120"/>
      </w:pPr>
      <w:r>
        <w:rPr>
          <w:color w:val="0054A6"/>
        </w:rPr>
        <w:t>¿Qué es esta sección?</w:t>
      </w:r>
    </w:p>
    <w:p>
      <w:pPr>
        <w:spacing w:after="120"/>
      </w:pPr>
      <w:r>
        <w:rPr>
          <w:rFonts w:ascii="Calibri" w:hAnsi="Calibri"/>
          <w:b w:val="0"/>
          <w:i w:val="0"/>
          <w:sz w:val="22"/>
        </w:rPr>
        <w:t>La sección de Alertas centraliza todas las notificaciones y casos que requieren seguimiento activo por parte del equipo supervisor. Cuando un sostenedor activa indicadores de riesgo que superan los umbrales definidos, el sistema genera una alerta que aparece en esta sección para asegurar que ningún caso crítico pase inadvertido.</w:t>
      </w:r>
    </w:p>
    <w:p>
      <w:pPr>
        <w:pStyle w:val="Heading2"/>
        <w:spacing w:before="280" w:after="120"/>
      </w:pPr>
      <w:r>
        <w:rPr>
          <w:color w:val="0054A6"/>
        </w:rPr>
        <w:t>¿Qué puede hacer aquí?</w:t>
      </w:r>
    </w:p>
    <w:p>
      <w:pPr>
        <w:pStyle w:val="ListBullet"/>
        <w:spacing w:after="60"/>
      </w:pPr>
      <w:r>
        <w:rPr>
          <w:rFonts w:ascii="Calibri" w:hAnsi="Calibri"/>
          <w:b w:val="0"/>
          <w:i w:val="0"/>
          <w:sz w:val="22"/>
        </w:rPr>
        <w:t>Revisar el listado de sostenedores con alertas activas pendientes de seguimiento.</w:t>
      </w:r>
    </w:p>
    <w:p>
      <w:pPr>
        <w:pStyle w:val="ListBullet"/>
        <w:spacing w:after="60"/>
      </w:pPr>
      <w:r>
        <w:rPr>
          <w:rFonts w:ascii="Calibri" w:hAnsi="Calibri"/>
          <w:b w:val="0"/>
          <w:i w:val="0"/>
          <w:sz w:val="22"/>
        </w:rPr>
        <w:t>Consultar el detalle de cada alerta: qué indicador la generó, cuándo se activó y qué umbral se superó.</w:t>
      </w:r>
    </w:p>
    <w:p>
      <w:pPr>
        <w:pStyle w:val="ListBullet"/>
        <w:spacing w:after="60"/>
      </w:pPr>
      <w:r>
        <w:rPr>
          <w:rFonts w:ascii="Calibri" w:hAnsi="Calibri"/>
          <w:b w:val="0"/>
          <w:i w:val="0"/>
          <w:sz w:val="22"/>
        </w:rPr>
        <w:t>Gestionar el estado de seguimiento de cada caso: marcar como revisado, en proceso o resuelto.</w:t>
      </w:r>
    </w:p>
    <w:p>
      <w:pPr>
        <w:pStyle w:val="ListBullet"/>
        <w:spacing w:after="60"/>
      </w:pPr>
      <w:r>
        <w:rPr>
          <w:rFonts w:ascii="Calibri" w:hAnsi="Calibri"/>
          <w:b w:val="0"/>
          <w:i w:val="0"/>
          <w:sz w:val="22"/>
        </w:rPr>
        <w:t>Priorizar la agenda de supervisión en función de los casos más críticos.</w:t>
      </w:r>
    </w:p>
    <w:p>
      <w:pPr>
        <w:pStyle w:val="Heading2"/>
        <w:spacing w:before="280" w:after="120"/>
      </w:pPr>
      <w:r>
        <w:rPr>
          <w:color w:val="0054A6"/>
        </w:rPr>
        <w:t>Tipos de alertas</w:t>
      </w:r>
    </w:p>
    <w:p>
      <w:pPr>
        <w:spacing w:after="120"/>
      </w:pPr>
      <w:r>
        <w:rPr>
          <w:rFonts w:ascii="Calibri" w:hAnsi="Calibri"/>
          <w:b w:val="0"/>
          <w:i w:val="0"/>
          <w:sz w:val="22"/>
        </w:rPr>
        <w:t>Las alertas se generan automáticamente cuando un sostenedor supera cualquiera de los siguientes umbrales:</w:t>
      </w:r>
    </w:p>
    <w:p>
      <w:pPr>
        <w:pStyle w:val="ListBullet"/>
        <w:spacing w:after="60"/>
      </w:pPr>
      <w:r>
        <w:rPr>
          <w:rFonts w:ascii="Calibri" w:hAnsi="Calibri"/>
          <w:b w:val="0"/>
          <w:i w:val="0"/>
          <w:sz w:val="22"/>
        </w:rPr>
        <w:t>Concentración Administrativa (#4) superior al 20% o 30%.</w:t>
      </w:r>
    </w:p>
    <w:p>
      <w:pPr>
        <w:pStyle w:val="ListBullet"/>
        <w:spacing w:after="60"/>
      </w:pPr>
      <w:r>
        <w:rPr>
          <w:rFonts w:ascii="Calibri" w:hAnsi="Calibri"/>
          <w:b w:val="0"/>
          <w:i w:val="0"/>
          <w:sz w:val="22"/>
        </w:rPr>
        <w:t>Gasto Remuneracional (#9) superior al 65% o 85% de los ingresos.</w:t>
      </w:r>
    </w:p>
    <w:p>
      <w:pPr>
        <w:pStyle w:val="ListBullet"/>
        <w:spacing w:after="60"/>
      </w:pPr>
      <w:r>
        <w:rPr>
          <w:rFonts w:ascii="Calibri" w:hAnsi="Calibri"/>
          <w:b w:val="0"/>
          <w:i w:val="0"/>
          <w:sz w:val="22"/>
        </w:rPr>
        <w:t>Balance negativo (gastos mayores que ingresos) superando el -5%.</w:t>
      </w:r>
    </w:p>
    <w:p>
      <w:pPr>
        <w:pStyle w:val="ListBullet"/>
        <w:spacing w:after="60"/>
      </w:pPr>
      <w:r>
        <w:rPr>
          <w:rFonts w:ascii="Calibri" w:hAnsi="Calibri"/>
          <w:b w:val="0"/>
          <w:i w:val="0"/>
          <w:sz w:val="22"/>
        </w:rPr>
        <w:t>Puntaje de riesgo global superior a 15 o 45 puntos.</w:t>
      </w:r>
    </w:p>
    <w:p/>
    <w:p>
      <w:pPr>
        <w:shd w:val="clear" w:color="auto" w:fill="FCE4D6"/>
        <w:spacing w:after="240"/>
        <w:ind w:left="283" w:right="283"/>
      </w:pPr>
      <w:r>
        <w:rPr>
          <w:rFonts w:ascii="Calibri" w:hAnsi="Calibri"/>
          <w:b w:val="0"/>
          <w:i/>
          <w:color w:val="832300"/>
          <w:sz w:val="20"/>
        </w:rPr>
        <w:t>Recomendación: Revise la sección de Alertas al inicio de cada jornada como primer paso, antes de ingresar a perfiles individuales. Esto le permitirá identificar de inmediato qué casos requieren acción prioritaria ese día.</w:t>
      </w:r>
    </w:p>
    <w:p>
      <w:r>
        <w:br w:type="page"/>
      </w:r>
    </w:p>
    <w:p>
      <w:pPr>
        <w:pStyle w:val="Heading1"/>
        <w:spacing w:before="280" w:after="120"/>
      </w:pPr>
      <w:r>
        <w:rPr>
          <w:color w:val="003366"/>
        </w:rPr>
        <w:t>6.  GNA — Análisis GNA</w:t>
      </w:r>
    </w:p>
    <w:p>
      <w:pPr>
        <w:spacing w:after="160"/>
      </w:pPr>
      <w:r>
        <w:rPr>
          <w:rFonts w:ascii="Calibri" w:hAnsi="Calibri"/>
          <w:b/>
          <w:i w:val="0"/>
          <w:color w:val="404040"/>
          <w:sz w:val="20"/>
        </w:rPr>
        <w:t xml:space="preserve">Sección: </w:t>
      </w:r>
      <w:r>
        <w:rPr>
          <w:rFonts w:ascii="Calibri" w:hAnsi="Calibri"/>
          <w:b w:val="0"/>
          <w:i w:val="0"/>
          <w:color w:val="0078D7"/>
          <w:sz w:val="20"/>
        </w:rPr>
        <w:t>/gna</w:t>
      </w:r>
    </w:p>
    <w:p>
      <w:pPr>
        <w:pStyle w:val="Heading2"/>
        <w:spacing w:before="280" w:after="120"/>
      </w:pPr>
      <w:r>
        <w:rPr>
          <w:color w:val="0054A6"/>
        </w:rPr>
        <w:t>¿Qué es esta sección?</w:t>
      </w:r>
    </w:p>
    <w:p>
      <w:pPr>
        <w:spacing w:after="120"/>
      </w:pPr>
      <w:r>
        <w:rPr>
          <w:rFonts w:ascii="Calibri" w:hAnsi="Calibri"/>
          <w:b w:val="0"/>
          <w:i w:val="0"/>
          <w:sz w:val="22"/>
        </w:rPr>
        <w:t>La sección GNA está dedicada al análisis de datos y reportes relacionados con el proceso de Gestión de Necesidades de Adquisición (GNA). Permite revisar y analizar los documentos y registros de adquisiciones de los sostenedores en el contexto de la normativa vigente, facilitando la identificación de patrones en el gasto y posibles irregularidades.</w:t>
      </w:r>
    </w:p>
    <w:p>
      <w:pPr>
        <w:pStyle w:val="Heading2"/>
        <w:spacing w:before="280" w:after="120"/>
      </w:pPr>
      <w:r>
        <w:rPr>
          <w:color w:val="0054A6"/>
        </w:rPr>
        <w:t>¿Qué puede hacer aquí?</w:t>
      </w:r>
    </w:p>
    <w:p>
      <w:pPr>
        <w:pStyle w:val="ListBullet"/>
        <w:spacing w:after="60"/>
      </w:pPr>
      <w:r>
        <w:rPr>
          <w:rFonts w:ascii="Calibri" w:hAnsi="Calibri"/>
          <w:b w:val="0"/>
          <w:i w:val="0"/>
          <w:sz w:val="22"/>
        </w:rPr>
        <w:t>Revisar el análisis consolidado de documentos de adquisición del portafolio.</w:t>
      </w:r>
    </w:p>
    <w:p>
      <w:pPr>
        <w:pStyle w:val="ListBullet"/>
        <w:spacing w:after="60"/>
      </w:pPr>
      <w:r>
        <w:rPr>
          <w:rFonts w:ascii="Calibri" w:hAnsi="Calibri"/>
          <w:b w:val="0"/>
          <w:i w:val="0"/>
          <w:sz w:val="22"/>
        </w:rPr>
        <w:t>Identificar sostenedores con patrones de gasto inusuales en sus adquisiciones.</w:t>
      </w:r>
    </w:p>
    <w:p>
      <w:pPr>
        <w:pStyle w:val="ListBullet"/>
        <w:spacing w:after="60"/>
      </w:pPr>
      <w:r>
        <w:rPr>
          <w:rFonts w:ascii="Calibri" w:hAnsi="Calibri"/>
          <w:b w:val="0"/>
          <w:i w:val="0"/>
          <w:sz w:val="22"/>
        </w:rPr>
        <w:t>Consultar el desglose de tipos de documento (facturas, contratos, licitaciones, órdenes de compra).</w:t>
      </w:r>
    </w:p>
    <w:p>
      <w:pPr>
        <w:pStyle w:val="ListBullet"/>
        <w:spacing w:after="60"/>
      </w:pPr>
      <w:r>
        <w:rPr>
          <w:rFonts w:ascii="Calibri" w:hAnsi="Calibri"/>
          <w:b w:val="0"/>
          <w:i w:val="0"/>
          <w:sz w:val="22"/>
        </w:rPr>
        <w:t>Cruzar información de adquisiciones con el estado financiero general de cada sostenedor.</w:t>
      </w:r>
    </w:p>
    <w:p>
      <w:r>
        <w:br w:type="page"/>
      </w:r>
    </w:p>
    <w:p>
      <w:pPr>
        <w:pStyle w:val="Heading1"/>
        <w:spacing w:before="280" w:after="120"/>
      </w:pPr>
      <w:r>
        <w:rPr>
          <w:color w:val="003366"/>
        </w:rPr>
        <w:t>7.  Glosario de Indicadores y Niveles de Riesgo</w:t>
      </w:r>
    </w:p>
    <w:p>
      <w:pPr>
        <w:spacing w:after="120"/>
      </w:pPr>
      <w:r>
        <w:rPr>
          <w:rFonts w:ascii="Calibri" w:hAnsi="Calibri"/>
          <w:b w:val="0"/>
          <w:i w:val="0"/>
          <w:sz w:val="22"/>
        </w:rPr>
        <w:t>A continuación se presentan los términos y conceptos clave que se utilizan en todo el portal.</w:t>
      </w:r>
    </w:p>
    <w:p>
      <w:pPr>
        <w:pStyle w:val="Heading2"/>
        <w:spacing w:before="280" w:after="120"/>
      </w:pPr>
      <w:r>
        <w:rPr>
          <w:color w:val="0054A6"/>
        </w:rPr>
        <w:t>Indicadores financieros</w:t>
      </w:r>
    </w:p>
    <w:p>
      <w:pPr>
        <w:spacing w:before="160" w:after="40"/>
      </w:pPr>
      <w:r>
        <w:rPr>
          <w:rFonts w:ascii="Calibri" w:hAnsi="Calibri"/>
          <w:b/>
          <w:i w:val="0"/>
          <w:color w:val="0054A6"/>
          <w:sz w:val="24"/>
        </w:rPr>
        <w:t>#4 — Concentración Administrativa</w:t>
      </w:r>
    </w:p>
    <w:p>
      <w:pPr>
        <w:spacing w:after="80"/>
        <w:ind w:left="454"/>
      </w:pPr>
      <w:r>
        <w:rPr>
          <w:rFonts w:ascii="Calibri" w:hAnsi="Calibri"/>
          <w:b w:val="0"/>
          <w:i w:val="0"/>
          <w:color w:val="404040"/>
          <w:sz w:val="22"/>
        </w:rPr>
        <w:t>Mide qué porcentaje del total de gastos del sostenedor corresponde a gastos administrativos (no relacionados directamente con la actividad educativa). Un valor alto puede indicar ineficiencia en la gestión o desvío de recursos. El umbral de ALERTA es 20% y el de CRÍTICO es 30%.</w:t>
      </w:r>
    </w:p>
    <w:p>
      <w:pPr>
        <w:spacing w:before="160" w:after="40"/>
      </w:pPr>
      <w:r>
        <w:rPr>
          <w:rFonts w:ascii="Calibri" w:hAnsi="Calibri"/>
          <w:b/>
          <w:i w:val="0"/>
          <w:color w:val="0054A6"/>
          <w:sz w:val="24"/>
        </w:rPr>
        <w:t>#9 — Gasto Remuneracional</w:t>
      </w:r>
    </w:p>
    <w:p>
      <w:pPr>
        <w:spacing w:after="80"/>
        <w:ind w:left="454"/>
      </w:pPr>
      <w:r>
        <w:rPr>
          <w:rFonts w:ascii="Calibri" w:hAnsi="Calibri"/>
          <w:b w:val="0"/>
          <w:i w:val="0"/>
          <w:color w:val="404040"/>
          <w:sz w:val="22"/>
        </w:rPr>
        <w:t>Mide qué porcentaje de los ingresos totales del sostenedor se destina al pago de remuneraciones del personal. Un valor muy alto compromete la capacidad del sostenedor para cubrir otros gastos operativos. El umbral de ALERTA es 65% y el de CRÍTICO es 85%.</w:t>
      </w:r>
    </w:p>
    <w:p>
      <w:pPr>
        <w:spacing w:before="160" w:after="40"/>
      </w:pPr>
      <w:r>
        <w:rPr>
          <w:rFonts w:ascii="Calibri" w:hAnsi="Calibri"/>
          <w:b/>
          <w:i w:val="0"/>
          <w:color w:val="0054A6"/>
          <w:sz w:val="24"/>
        </w:rPr>
        <w:t>#10 — Innovación Pedagógica</w:t>
      </w:r>
    </w:p>
    <w:p>
      <w:pPr>
        <w:spacing w:after="80"/>
        <w:ind w:left="454"/>
      </w:pPr>
      <w:r>
        <w:rPr>
          <w:rFonts w:ascii="Calibri" w:hAnsi="Calibri"/>
          <w:b w:val="0"/>
          <w:i w:val="0"/>
          <w:color w:val="404040"/>
          <w:sz w:val="22"/>
        </w:rPr>
        <w:t>Mide el porcentaje del gasto destinado a innovación pedagógica (materiales educativos, capacitaciones docentes, tecnología educativa). Un valor bajo puede indicar poca inversión en calidad educativa.</w:t>
      </w:r>
    </w:p>
    <w:p>
      <w:pPr>
        <w:spacing w:before="160" w:after="40"/>
      </w:pPr>
      <w:r>
        <w:rPr>
          <w:rFonts w:ascii="Calibri" w:hAnsi="Calibri"/>
          <w:b/>
          <w:i w:val="0"/>
          <w:color w:val="0054A6"/>
          <w:sz w:val="24"/>
        </w:rPr>
        <w:t>#11 — HHI Concentración</w:t>
      </w:r>
    </w:p>
    <w:p>
      <w:pPr>
        <w:spacing w:after="80"/>
        <w:ind w:left="454"/>
      </w:pPr>
      <w:r>
        <w:rPr>
          <w:rFonts w:ascii="Calibri" w:hAnsi="Calibri"/>
          <w:b w:val="0"/>
          <w:i w:val="0"/>
          <w:color w:val="404040"/>
          <w:sz w:val="22"/>
        </w:rPr>
        <w:t>El Índice Herfindahl-Hirschman (HHI) mide la concentración de las fuentes de ingreso del sostenedor. Un valor alto indica que el sostenedor depende casi exclusivamente de una sola fuente de financiamiento (por ejemplo, solo subvención), lo que representa un riesgo de sostenibilidad financiera.</w:t>
      </w:r>
    </w:p>
    <w:p>
      <w:pPr>
        <w:spacing w:before="160" w:after="40"/>
      </w:pPr>
      <w:r>
        <w:rPr>
          <w:rFonts w:ascii="Calibri" w:hAnsi="Calibri"/>
          <w:b/>
          <w:i w:val="0"/>
          <w:color w:val="0054A6"/>
          <w:sz w:val="24"/>
        </w:rPr>
        <w:t>Balance (ratio de balance)</w:t>
      </w:r>
    </w:p>
    <w:p>
      <w:pPr>
        <w:spacing w:after="80"/>
        <w:ind w:left="454"/>
      </w:pPr>
      <w:r>
        <w:rPr>
          <w:rFonts w:ascii="Calibri" w:hAnsi="Calibri"/>
          <w:b w:val="0"/>
          <w:i w:val="0"/>
          <w:color w:val="404040"/>
          <w:sz w:val="22"/>
        </w:rPr>
        <w:t>Se calcula como: (Ingresos − Gastos) / Ingresos × 100. Un valor positivo indica superávit; un valor negativo indica déficit. El umbral de ALERTA es -5% y el de CRÍTICO es un balance menor a -5%.</w:t>
      </w:r>
    </w:p>
    <w:p>
      <w:pPr>
        <w:spacing w:before="160" w:after="40"/>
      </w:pPr>
      <w:r>
        <w:rPr>
          <w:rFonts w:ascii="Calibri" w:hAnsi="Calibri"/>
          <w:b/>
          <w:i w:val="0"/>
          <w:color w:val="0054A6"/>
          <w:sz w:val="24"/>
        </w:rPr>
        <w:t>Puntaje de riesgo</w:t>
      </w:r>
    </w:p>
    <w:p>
      <w:pPr>
        <w:spacing w:after="80"/>
        <w:ind w:left="454"/>
      </w:pPr>
      <w:r>
        <w:rPr>
          <w:rFonts w:ascii="Calibri" w:hAnsi="Calibri"/>
          <w:b w:val="0"/>
          <w:i w:val="0"/>
          <w:color w:val="404040"/>
          <w:sz w:val="22"/>
        </w:rPr>
        <w:t>Puntuación global calculada automáticamente que combina los valores de todos los indicadores. Un puntaje superior a 15 activa nivel ALERTA; superior a 45 activa nivel CRÍTICO.</w:t>
      </w:r>
    </w:p>
    <w:p/>
    <w:p>
      <w:pPr>
        <w:pStyle w:val="Heading2"/>
        <w:spacing w:before="280" w:after="120"/>
      </w:pPr>
      <w:r>
        <w:rPr>
          <w:color w:val="0054A6"/>
        </w:rPr>
        <w:t>Conceptos generales</w:t>
      </w:r>
    </w:p>
    <w:p>
      <w:pPr>
        <w:spacing w:after="100"/>
      </w:pPr>
      <w:r>
        <w:rPr>
          <w:rFonts w:ascii="Calibri" w:hAnsi="Calibri"/>
          <w:b/>
          <w:i w:val="0"/>
          <w:color w:val="003366"/>
          <w:sz w:val="22"/>
        </w:rPr>
        <w:t xml:space="preserve">Sostenedor: </w:t>
      </w:r>
      <w:r>
        <w:rPr>
          <w:rFonts w:ascii="Calibri" w:hAnsi="Calibri"/>
          <w:b w:val="0"/>
          <w:i w:val="0"/>
          <w:sz w:val="22"/>
        </w:rPr>
        <w:t>Entidad legal (empresa, fundación, corporación municipal u organismo público) responsable de la administración de uno o más establecimientos educacionales subvencionados por el Estado.</w:t>
      </w:r>
    </w:p>
    <w:p>
      <w:pPr>
        <w:spacing w:after="100"/>
      </w:pPr>
      <w:r>
        <w:rPr>
          <w:rFonts w:ascii="Calibri" w:hAnsi="Calibri"/>
          <w:b/>
          <w:i w:val="0"/>
          <w:color w:val="003366"/>
          <w:sz w:val="22"/>
        </w:rPr>
        <w:t xml:space="preserve">MINEDUC: </w:t>
      </w:r>
      <w:r>
        <w:rPr>
          <w:rFonts w:ascii="Calibri" w:hAnsi="Calibri"/>
          <w:b w:val="0"/>
          <w:i w:val="0"/>
          <w:sz w:val="22"/>
        </w:rPr>
        <w:t>Ministerio de Educación de Chile. Fuente de los datos educacionales integrados en el portal (matrícula, dotación, SNED).</w:t>
      </w:r>
    </w:p>
    <w:p>
      <w:pPr>
        <w:spacing w:after="100"/>
      </w:pPr>
      <w:r>
        <w:rPr>
          <w:rFonts w:ascii="Calibri" w:hAnsi="Calibri"/>
          <w:b/>
          <w:i w:val="0"/>
          <w:color w:val="003366"/>
          <w:sz w:val="22"/>
        </w:rPr>
        <w:t xml:space="preserve">SNED: </w:t>
      </w:r>
      <w:r>
        <w:rPr>
          <w:rFonts w:ascii="Calibri" w:hAnsi="Calibri"/>
          <w:b w:val="0"/>
          <w:i w:val="0"/>
          <w:sz w:val="22"/>
        </w:rPr>
        <w:t>Sistema Nacional de Evaluación del Desempeño de los Establecimientos Educacionales Subvencionados. Mecanismo de evaluación periódica que otorga un bono a los establecimientos de mejor desempeño.</w:t>
      </w:r>
    </w:p>
    <w:p>
      <w:pPr>
        <w:spacing w:after="100"/>
      </w:pPr>
      <w:r>
        <w:rPr>
          <w:rFonts w:ascii="Calibri" w:hAnsi="Calibri"/>
          <w:b/>
          <w:i w:val="0"/>
          <w:color w:val="003366"/>
          <w:sz w:val="22"/>
        </w:rPr>
        <w:t xml:space="preserve">SIE: </w:t>
      </w:r>
      <w:r>
        <w:rPr>
          <w:rFonts w:ascii="Calibri" w:hAnsi="Calibri"/>
          <w:b w:val="0"/>
          <w:i w:val="0"/>
          <w:sz w:val="22"/>
        </w:rPr>
        <w:t>Sistema de Indicadores de Eficiencia. Marco metodológico con indicadores que evalúan la gestión financiera de los sostenedores según la normativa de la Superintendencia de Educación.</w:t>
      </w:r>
    </w:p>
    <w:p>
      <w:pPr>
        <w:spacing w:after="100"/>
      </w:pPr>
      <w:r>
        <w:rPr>
          <w:rFonts w:ascii="Calibri" w:hAnsi="Calibri"/>
          <w:b/>
          <w:i w:val="0"/>
          <w:color w:val="003366"/>
          <w:sz w:val="22"/>
        </w:rPr>
        <w:t xml:space="preserve">GNA: </w:t>
      </w:r>
      <w:r>
        <w:rPr>
          <w:rFonts w:ascii="Calibri" w:hAnsi="Calibri"/>
          <w:b w:val="0"/>
          <w:i w:val="0"/>
          <w:sz w:val="22"/>
        </w:rPr>
        <w:t>Gestión de Necesidades de Adquisición. Proceso formal de planificación y registro de las compras y contrataciones de los sostenedores.</w:t>
      </w:r>
    </w:p>
    <w:p>
      <w:pPr>
        <w:spacing w:after="100"/>
      </w:pPr>
      <w:r>
        <w:rPr>
          <w:rFonts w:ascii="Calibri" w:hAnsi="Calibri"/>
          <w:b/>
          <w:i w:val="0"/>
          <w:color w:val="003366"/>
          <w:sz w:val="22"/>
        </w:rPr>
        <w:t xml:space="preserve">Portafolio: </w:t>
      </w:r>
      <w:r>
        <w:rPr>
          <w:rFonts w:ascii="Calibri" w:hAnsi="Calibri"/>
          <w:b w:val="0"/>
          <w:i w:val="0"/>
          <w:sz w:val="22"/>
        </w:rPr>
        <w:t>En el contexto de este portal, el "portafolio" hace referencia al conjunto total de sostenedores bajo supervisión de la Superintendencia.</w:t>
      </w:r>
    </w:p>
    <w:p>
      <w:pPr>
        <w:spacing w:after="100"/>
      </w:pPr>
      <w:r>
        <w:rPr>
          <w:rFonts w:ascii="Calibri" w:hAnsi="Calibri"/>
          <w:b/>
          <w:i w:val="0"/>
          <w:color w:val="003366"/>
          <w:sz w:val="22"/>
        </w:rPr>
        <w:t xml:space="preserve">Streaming: </w:t>
      </w:r>
      <w:r>
        <w:rPr>
          <w:rFonts w:ascii="Calibri" w:hAnsi="Calibri"/>
          <w:b w:val="0"/>
          <w:i w:val="0"/>
          <w:sz w:val="22"/>
        </w:rPr>
        <w:t>Técnica de presentación de información en tiempo real. Cuando el portal dice que un análisis se genera con "streaming", significa que el texto aparece progresivamente en pantalla mientras la IA lo genera, sin necesidad de esperar a que termine.</w:t>
      </w:r>
    </w:p>
    <w:p>
      <w:r>
        <w:br w:type="page"/>
      </w:r>
    </w:p>
    <w:p>
      <w:pPr>
        <w:pStyle w:val="Heading1"/>
        <w:spacing w:before="280" w:after="120"/>
      </w:pPr>
      <w:r>
        <w:rPr>
          <w:color w:val="003366"/>
        </w:rPr>
        <w:t>8.  Cómo Empezar — Guía de Inicio Rápido</w:t>
      </w:r>
    </w:p>
    <w:p>
      <w:pPr>
        <w:spacing w:after="120"/>
      </w:pPr>
      <w:r>
        <w:rPr>
          <w:rFonts w:ascii="Calibri" w:hAnsi="Calibri"/>
          <w:b w:val="0"/>
          <w:i w:val="0"/>
          <w:sz w:val="22"/>
        </w:rPr>
        <w:t>Esta sección le proporciona una secuencia recomendada de pasos para sacar el máximo provecho del portal desde el primer día.</w:t>
      </w:r>
    </w:p>
    <w:p>
      <w:pPr>
        <w:shd w:val="clear" w:color="auto" w:fill="FCE4D6"/>
        <w:spacing w:before="160" w:after="40"/>
      </w:pPr>
      <w:r>
        <w:rPr>
          <w:rFonts w:ascii="Calibri" w:hAnsi="Calibri"/>
          <w:b/>
          <w:i w:val="0"/>
          <w:color w:val="003366"/>
          <w:sz w:val="24"/>
        </w:rPr>
        <w:t xml:space="preserve">  Paso 1: Revise las alertas del día</w:t>
      </w:r>
    </w:p>
    <w:p>
      <w:pPr>
        <w:shd w:val="clear" w:color="auto" w:fill="FCE4D6"/>
        <w:spacing w:after="120"/>
        <w:ind w:left="170"/>
      </w:pPr>
      <w:r>
        <w:rPr>
          <w:rFonts w:ascii="Calibri" w:hAnsi="Calibri"/>
          <w:b w:val="0"/>
          <w:i w:val="0"/>
          <w:color w:val="404040"/>
          <w:sz w:val="22"/>
        </w:rPr>
        <w:t xml:space="preserve">  Al iniciar sesión, navegue primero a la sección Alertas (/alertas). Identifique los casos que requieren atención urgente. Anote los nombres de los sostenedores en estado CRÍTICO que necesitan revisión inmediata.</w:t>
      </w:r>
    </w:p>
    <w:p>
      <w:pPr>
        <w:shd w:val="clear" w:color="auto" w:fill="EBF3FB"/>
        <w:spacing w:before="160" w:after="40"/>
      </w:pPr>
      <w:r>
        <w:rPr>
          <w:rFonts w:ascii="Calibri" w:hAnsi="Calibri"/>
          <w:b/>
          <w:i w:val="0"/>
          <w:color w:val="003366"/>
          <w:sz w:val="24"/>
        </w:rPr>
        <w:t xml:space="preserve">  Paso 2: Consulte el panel de Inteligencia</w:t>
      </w:r>
    </w:p>
    <w:p>
      <w:pPr>
        <w:shd w:val="clear" w:color="auto" w:fill="EBF3FB"/>
        <w:spacing w:after="120"/>
        <w:ind w:left="170"/>
      </w:pPr>
      <w:r>
        <w:rPr>
          <w:rFonts w:ascii="Calibri" w:hAnsi="Calibri"/>
          <w:b w:val="0"/>
          <w:i w:val="0"/>
          <w:color w:val="404040"/>
          <w:sz w:val="22"/>
        </w:rPr>
        <w:t xml:space="preserve">  Abra la sección Inteligencia (/intelligence). Lea el resumen ejecutivo (tarjetas KPI) para tener una imagen general del portafolio. Espere unos segundos a que cargue el análisis profundo de IA y revise sus conclusiones estratégicas. Explore los gráficos por región y dependencia para detectar patrones geográficos.</w:t>
      </w:r>
    </w:p>
    <w:p>
      <w:pPr>
        <w:shd w:val="clear" w:color="auto" w:fill="E2EFDA"/>
        <w:spacing w:before="160" w:after="40"/>
      </w:pPr>
      <w:r>
        <w:rPr>
          <w:rFonts w:ascii="Calibri" w:hAnsi="Calibri"/>
          <w:b/>
          <w:i w:val="0"/>
          <w:color w:val="003366"/>
          <w:sz w:val="24"/>
        </w:rPr>
        <w:t xml:space="preserve">  Paso 3: Revise los perfiles individuales prioritarios</w:t>
      </w:r>
    </w:p>
    <w:p>
      <w:pPr>
        <w:shd w:val="clear" w:color="auto" w:fill="E2EFDA"/>
        <w:spacing w:after="120"/>
        <w:ind w:left="170"/>
      </w:pPr>
      <w:r>
        <w:rPr>
          <w:rFonts w:ascii="Calibri" w:hAnsi="Calibri"/>
          <w:b w:val="0"/>
          <w:i w:val="0"/>
          <w:color w:val="404040"/>
          <w:sz w:val="22"/>
        </w:rPr>
        <w:t xml:space="preserve">  Con la lista de sostenedores prioritarios obtenida en el Paso 1, navegue a Perfiles Fiscales (/sostenedor) y busque cada sostenedor por nombre o RUT. Abra el perfil y revise el análisis financiero de IA, los datos históricos y el gasto remuneracional. Use el chat del perfil para hacer preguntas específicas si necesita más detalle.</w:t>
      </w:r>
    </w:p>
    <w:p>
      <w:pPr>
        <w:shd w:val="clear" w:color="auto" w:fill="FFF2CC"/>
        <w:spacing w:before="160" w:after="40"/>
      </w:pPr>
      <w:r>
        <w:rPr>
          <w:rFonts w:ascii="Calibri" w:hAnsi="Calibri"/>
          <w:b/>
          <w:i w:val="0"/>
          <w:color w:val="003366"/>
          <w:sz w:val="24"/>
        </w:rPr>
        <w:t xml:space="preserve">  Paso 4: Use Milo AI para preguntas complejas</w:t>
      </w:r>
    </w:p>
    <w:p>
      <w:pPr>
        <w:shd w:val="clear" w:color="auto" w:fill="FFF2CC"/>
        <w:spacing w:after="120"/>
        <w:ind w:left="170"/>
      </w:pPr>
      <w:r>
        <w:rPr>
          <w:rFonts w:ascii="Calibri" w:hAnsi="Calibri"/>
          <w:b w:val="0"/>
          <w:i w:val="0"/>
          <w:color w:val="404040"/>
          <w:sz w:val="22"/>
        </w:rPr>
        <w:t xml:space="preserve">  Si necesita responder preguntas que cruzan datos de varios sostenedores, consultar normativa específica o explorar tendencias del portafolio, abra Milo AI (/milo) y escriba su pregunta en lenguaje natural. Milo consultará automáticamente la base de datos o los documentos normativos según corresponda.</w:t>
      </w:r>
    </w:p>
    <w:p>
      <w:pPr>
        <w:shd w:val="clear" w:color="auto" w:fill="F2F2F2"/>
        <w:spacing w:before="160" w:after="40"/>
      </w:pPr>
      <w:r>
        <w:rPr>
          <w:rFonts w:ascii="Calibri" w:hAnsi="Calibri"/>
          <w:b/>
          <w:i w:val="0"/>
          <w:color w:val="003366"/>
          <w:sz w:val="24"/>
        </w:rPr>
        <w:t xml:space="preserve">  Paso 5: Documente y haga seguimiento</w:t>
      </w:r>
    </w:p>
    <w:p>
      <w:pPr>
        <w:shd w:val="clear" w:color="auto" w:fill="F2F2F2"/>
        <w:spacing w:after="120"/>
        <w:ind w:left="170"/>
      </w:pPr>
      <w:r>
        <w:rPr>
          <w:rFonts w:ascii="Calibri" w:hAnsi="Calibri"/>
          <w:b w:val="0"/>
          <w:i w:val="0"/>
          <w:color w:val="404040"/>
          <w:sz w:val="22"/>
        </w:rPr>
        <w:t xml:space="preserve">  Para los casos que requieren acción posterior, vuelva a la sección Alertas y actualice el estado de seguimiento. Puede copiar el texto del análisis de IA para incluirlo en informes internos o memorándums.</w:t>
      </w:r>
    </w:p>
    <w:p/>
    <w:p>
      <w:pPr>
        <w:pStyle w:val="Heading2"/>
        <w:spacing w:before="280" w:after="120"/>
      </w:pPr>
      <w:r>
        <w:rPr>
          <w:color w:val="0054A6"/>
        </w:rPr>
        <w:t>Flujos de trabajo recomendados</w:t>
      </w:r>
    </w:p>
    <w:p>
      <w:pPr>
        <w:spacing w:before="200" w:after="80"/>
      </w:pPr>
      <w:r>
        <w:rPr>
          <w:rFonts w:ascii="Calibri" w:hAnsi="Calibri"/>
          <w:b/>
          <w:i w:val="0"/>
          <w:color w:val="0054A6"/>
          <w:sz w:val="24"/>
        </w:rPr>
        <w:t>Supervisión diaria de rutina (20-30 minutos)</w:t>
      </w:r>
    </w:p>
    <w:p>
      <w:pPr>
        <w:pStyle w:val="ListBullet"/>
        <w:spacing w:after="60"/>
      </w:pPr>
      <w:r>
        <w:rPr>
          <w:rFonts w:ascii="Calibri" w:hAnsi="Calibri"/>
          <w:b w:val="0"/>
          <w:i w:val="0"/>
          <w:sz w:val="22"/>
        </w:rPr>
        <w:t>Alertas → identificar casos críticos del día.</w:t>
      </w:r>
    </w:p>
    <w:p>
      <w:pPr>
        <w:pStyle w:val="ListBullet"/>
        <w:spacing w:after="60"/>
      </w:pPr>
      <w:r>
        <w:rPr>
          <w:rFonts w:ascii="Calibri" w:hAnsi="Calibri"/>
          <w:b w:val="0"/>
          <w:i w:val="0"/>
          <w:sz w:val="22"/>
        </w:rPr>
        <w:t>Inteligencia → leer KPIs y análisis de IA.</w:t>
      </w:r>
    </w:p>
    <w:p>
      <w:pPr>
        <w:pStyle w:val="ListBullet"/>
        <w:spacing w:after="60"/>
      </w:pPr>
      <w:r>
        <w:rPr>
          <w:rFonts w:ascii="Calibri" w:hAnsi="Calibri"/>
          <w:b w:val="0"/>
          <w:i w:val="0"/>
          <w:sz w:val="22"/>
        </w:rPr>
        <w:t>Perfiles → revisar los 2-3 sostenedores más urgentes.</w:t>
      </w:r>
    </w:p>
    <w:p/>
    <w:p>
      <w:pPr>
        <w:spacing w:before="200" w:after="80"/>
      </w:pPr>
      <w:r>
        <w:rPr>
          <w:rFonts w:ascii="Calibri" w:hAnsi="Calibri"/>
          <w:b/>
          <w:i w:val="0"/>
          <w:color w:val="0054A6"/>
          <w:sz w:val="24"/>
        </w:rPr>
        <w:t>Preparación de informe mensual (1-2 horas)</w:t>
      </w:r>
    </w:p>
    <w:p>
      <w:pPr>
        <w:pStyle w:val="ListBullet"/>
        <w:spacing w:after="60"/>
      </w:pPr>
      <w:r>
        <w:rPr>
          <w:rFonts w:ascii="Calibri" w:hAnsi="Calibri"/>
          <w:b w:val="0"/>
          <w:i w:val="0"/>
          <w:sz w:val="22"/>
        </w:rPr>
        <w:t>Inteligencia → copiar análisis profundo de IA como base del informe.</w:t>
      </w:r>
    </w:p>
    <w:p>
      <w:pPr>
        <w:pStyle w:val="ListBullet"/>
        <w:spacing w:after="60"/>
      </w:pPr>
      <w:r>
        <w:rPr>
          <w:rFonts w:ascii="Calibri" w:hAnsi="Calibri"/>
          <w:b w:val="0"/>
          <w:i w:val="0"/>
          <w:sz w:val="22"/>
        </w:rPr>
        <w:t>Milo AI → consultar datos específicos por región o período.</w:t>
      </w:r>
    </w:p>
    <w:p>
      <w:pPr>
        <w:pStyle w:val="ListBullet"/>
        <w:spacing w:after="60"/>
      </w:pPr>
      <w:r>
        <w:rPr>
          <w:rFonts w:ascii="Calibri" w:hAnsi="Calibri"/>
          <w:b w:val="0"/>
          <w:i w:val="0"/>
          <w:sz w:val="22"/>
        </w:rPr>
        <w:t>Perfiles → revisar tendencias de sostenedores en seguimiento.</w:t>
      </w:r>
    </w:p>
    <w:p>
      <w:pPr>
        <w:pStyle w:val="ListBullet"/>
        <w:spacing w:after="60"/>
      </w:pPr>
      <w:r>
        <w:rPr>
          <w:rFonts w:ascii="Calibri" w:hAnsi="Calibri"/>
          <w:b w:val="0"/>
          <w:i w:val="0"/>
          <w:sz w:val="22"/>
        </w:rPr>
        <w:t>Alertas → registrar estado actualizado de todos los casos activos.</w:t>
      </w:r>
    </w:p>
    <w:p/>
    <w:p>
      <w:pPr>
        <w:spacing w:before="200" w:after="80"/>
      </w:pPr>
      <w:r>
        <w:rPr>
          <w:rFonts w:ascii="Calibri" w:hAnsi="Calibri"/>
          <w:b/>
          <w:i w:val="0"/>
          <w:color w:val="0054A6"/>
          <w:sz w:val="24"/>
        </w:rPr>
        <w:t>Investigación de un caso específico (30-60 minutos)</w:t>
      </w:r>
    </w:p>
    <w:p>
      <w:pPr>
        <w:pStyle w:val="ListBullet"/>
        <w:spacing w:after="60"/>
      </w:pPr>
      <w:r>
        <w:rPr>
          <w:rFonts w:ascii="Calibri" w:hAnsi="Calibri"/>
          <w:b w:val="0"/>
          <w:i w:val="0"/>
          <w:sz w:val="22"/>
        </w:rPr>
        <w:t>Perfiles → abrir el sostenedor de interés.</w:t>
      </w:r>
    </w:p>
    <w:p>
      <w:pPr>
        <w:pStyle w:val="ListBullet"/>
        <w:spacing w:after="60"/>
      </w:pPr>
      <w:r>
        <w:rPr>
          <w:rFonts w:ascii="Calibri" w:hAnsi="Calibri"/>
          <w:b w:val="0"/>
          <w:i w:val="0"/>
          <w:sz w:val="22"/>
        </w:rPr>
        <w:t>Revisar historial financiero, análisis de IA y remuneraciones.</w:t>
      </w:r>
    </w:p>
    <w:p>
      <w:pPr>
        <w:pStyle w:val="ListBullet"/>
        <w:spacing w:after="60"/>
      </w:pPr>
      <w:r>
        <w:rPr>
          <w:rFonts w:ascii="Calibri" w:hAnsi="Calibri"/>
          <w:b w:val="0"/>
          <w:i w:val="0"/>
          <w:sz w:val="22"/>
        </w:rPr>
        <w:t>Usar chat del perfil para preguntas específicas.</w:t>
      </w:r>
    </w:p>
    <w:p>
      <w:pPr>
        <w:pStyle w:val="ListBullet"/>
        <w:spacing w:after="60"/>
      </w:pPr>
      <w:r>
        <w:rPr>
          <w:rFonts w:ascii="Calibri" w:hAnsi="Calibri"/>
          <w:b w:val="0"/>
          <w:i w:val="0"/>
          <w:sz w:val="22"/>
        </w:rPr>
        <w:t>Milo AI → consultar normativa aplicable al caso.</w:t>
      </w:r>
    </w:p>
    <w:p/>
    <w:p>
      <w:pPr>
        <w:pStyle w:val="Heading2"/>
        <w:spacing w:before="280" w:after="120"/>
      </w:pPr>
      <w:r>
        <w:rPr>
          <w:color w:val="0054A6"/>
        </w:rPr>
        <w:t>Soporte y asistencia</w:t>
      </w:r>
    </w:p>
    <w:p>
      <w:pPr>
        <w:spacing w:after="120"/>
      </w:pPr>
      <w:r>
        <w:rPr>
          <w:rFonts w:ascii="Calibri" w:hAnsi="Calibri"/>
          <w:b w:val="0"/>
          <w:i w:val="0"/>
          <w:sz w:val="22"/>
        </w:rPr>
        <w:t>Si tiene dudas sobre el funcionamiento del portal, puede usar directamente a Milo AI para hacer preguntas sobre cómo interpretar los indicadores o cómo navegar las funcionalidades del sistema. El asistente está disponible en todo momento y puede guiarlo sobre qué sección usar según su necesidad.</w:t>
      </w:r>
    </w:p>
    <w:p>
      <w:pPr>
        <w:spacing w:after="120"/>
      </w:pPr>
      <w:r>
        <w:rPr>
          <w:rFonts w:ascii="Calibri" w:hAnsi="Calibri"/>
          <w:b w:val="0"/>
          <w:i w:val="0"/>
          <w:sz w:val="22"/>
        </w:rPr>
        <w:t>Para consultas técnicas o problemas de acceso, contacte al equipo responsable de la implementación del portal DataMate Edu.</w:t>
      </w:r>
    </w:p>
    <w:p/>
    <w:p>
      <w:pPr>
        <w:shd w:val="clear" w:color="auto" w:fill="003366"/>
        <w:spacing w:before="400" w:after="0"/>
      </w:pPr>
      <w:r>
        <w:rPr>
          <w:rFonts w:ascii="Calibri" w:hAnsi="Calibri"/>
          <w:b w:val="0"/>
          <w:i w:val="0"/>
          <w:color w:val="FFFFFF"/>
          <w:sz w:val="18"/>
        </w:rPr>
        <w:t xml:space="preserve">  DataMate Edu — Guía del Usuario  |  Superintendencia de Educación de Chile  |  Abril 2026  |  Documento de uso interno</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