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E40AF"/>
          <w:sz w:val="64"/>
        </w:rPr>
        <w:t>DataMate Edu</w:t>
      </w:r>
    </w:p>
    <w:p>
      <w:pPr>
        <w:jc w:val="center"/>
      </w:pPr>
      <w:r>
        <w:rPr>
          <w:i/>
          <w:color w:val="607AAF"/>
          <w:sz w:val="32"/>
        </w:rPr>
        <w:t>Portal de Inteligencia Financiera para Sostenedores Educacionales</w:t>
      </w:r>
    </w:p>
    <w:p/>
    <w:p/>
    <w:p>
      <w:pPr>
        <w:jc w:val="center"/>
      </w:pPr>
      <w:r>
        <w:rPr>
          <w:b/>
          <w:sz w:val="26"/>
        </w:rPr>
        <w:t>Documentación Técnica de Arquitectura, Ingeniería de Datos y Procesos</w:t>
      </w:r>
    </w:p>
    <w:p/>
    <w:p>
      <w:pPr>
        <w:jc w:val="center"/>
      </w:pPr>
      <w:r>
        <w:rPr>
          <w:color w:val="4B5563"/>
          <w:sz w:val="22"/>
        </w:rPr>
        <w:t>Versión: 1.0</w:t>
      </w:r>
    </w:p>
    <w:p>
      <w:pPr>
        <w:jc w:val="center"/>
      </w:pPr>
      <w:r>
        <w:rPr>
          <w:color w:val="4B5563"/>
          <w:sz w:val="22"/>
        </w:rPr>
        <w:t>Fecha: 01 de April de 2026</w:t>
      </w:r>
    </w:p>
    <w:p>
      <w:pPr>
        <w:jc w:val="center"/>
      </w:pPr>
      <w:r>
        <w:rPr>
          <w:color w:val="4B5563"/>
          <w:sz w:val="22"/>
        </w:rPr>
        <w:t>Autor: Equipo DataMate</w:t>
      </w:r>
    </w:p>
    <w:p>
      <w:pPr>
        <w:jc w:val="center"/>
      </w:pPr>
      <w:r>
        <w:rPr>
          <w:color w:val="4B5563"/>
          <w:sz w:val="22"/>
        </w:rPr>
        <w:t>Clasificación: Confidencial</w:t>
      </w:r>
    </w:p>
    <w:p>
      <w:r>
        <w:br w:type="page"/>
      </w:r>
    </w:p>
    <w:p>
      <w:pPr>
        <w:pStyle w:val="Heading1"/>
      </w:pPr>
      <w:r>
        <w:rPr>
          <w:b/>
          <w:color w:val="1E40AF"/>
          <w:sz w:val="36"/>
        </w:rPr>
        <w:t>Índice de Contenidos</w:t>
      </w:r>
    </w:p>
    <w:p>
      <w:pPr>
        <w:spacing w:after="80"/>
      </w:pPr>
      <w:r>
        <w:rPr>
          <w:b/>
        </w:rPr>
        <w:t xml:space="preserve">  1.  </w:t>
      </w:r>
      <w:r>
        <w:rPr>
          <w:sz w:val="22"/>
        </w:rPr>
        <w:t>Resumen Ejecutivo</w:t>
      </w:r>
    </w:p>
    <w:p>
      <w:pPr>
        <w:spacing w:after="80"/>
      </w:pPr>
      <w:r>
        <w:rPr>
          <w:b/>
        </w:rPr>
        <w:t xml:space="preserve">  2.  </w:t>
      </w:r>
      <w:r>
        <w:rPr>
          <w:sz w:val="22"/>
        </w:rPr>
        <w:t>Visión General del Sistema</w:t>
      </w:r>
    </w:p>
    <w:p>
      <w:pPr>
        <w:spacing w:after="80"/>
      </w:pPr>
      <w:r>
        <w:rPr>
          <w:b/>
        </w:rPr>
        <w:t xml:space="preserve">  3.  </w:t>
      </w:r>
      <w:r>
        <w:rPr>
          <w:sz w:val="22"/>
        </w:rPr>
        <w:t>Arquitectura Técnica</w:t>
      </w:r>
    </w:p>
    <w:p>
      <w:pPr>
        <w:spacing w:after="80"/>
      </w:pPr>
      <w:r>
        <w:rPr>
          <w:b/>
        </w:rPr>
        <w:t xml:space="preserve">  4.  </w:t>
      </w:r>
      <w:r>
        <w:rPr>
          <w:sz w:val="22"/>
        </w:rPr>
        <w:t>Modelo de Datos y Base de Datos</w:t>
      </w:r>
    </w:p>
    <w:p>
      <w:pPr>
        <w:spacing w:after="80"/>
      </w:pPr>
      <w:r>
        <w:rPr>
          <w:b/>
        </w:rPr>
        <w:t xml:space="preserve">  5.  </w:t>
      </w:r>
      <w:r>
        <w:rPr>
          <w:sz w:val="22"/>
        </w:rPr>
        <w:t>Ingeniería de Datos — Pipeline MINEDUC</w:t>
      </w:r>
    </w:p>
    <w:p>
      <w:pPr>
        <w:spacing w:after="80"/>
      </w:pPr>
      <w:r>
        <w:rPr>
          <w:b/>
        </w:rPr>
        <w:t xml:space="preserve">  6.  </w:t>
      </w:r>
      <w:r>
        <w:rPr>
          <w:sz w:val="22"/>
        </w:rPr>
        <w:t>Indicadores SIE Implementados</w:t>
      </w:r>
    </w:p>
    <w:p>
      <w:pPr>
        <w:spacing w:after="80"/>
      </w:pPr>
      <w:r>
        <w:rPr>
          <w:b/>
        </w:rPr>
        <w:t xml:space="preserve">  7.  </w:t>
      </w:r>
      <w:r>
        <w:rPr>
          <w:sz w:val="22"/>
        </w:rPr>
        <w:t>Sistema de Puntuación de Riesgo</w:t>
      </w:r>
    </w:p>
    <w:p>
      <w:pPr>
        <w:spacing w:after="80"/>
      </w:pPr>
      <w:r>
        <w:rPr>
          <w:b/>
        </w:rPr>
        <w:t xml:space="preserve">  8.  </w:t>
      </w:r>
      <w:r>
        <w:rPr>
          <w:sz w:val="22"/>
        </w:rPr>
        <w:t>APIs y Endpoints</w:t>
      </w:r>
    </w:p>
    <w:p>
      <w:pPr>
        <w:spacing w:after="80"/>
      </w:pPr>
      <w:r>
        <w:rPr>
          <w:b/>
        </w:rPr>
        <w:t xml:space="preserve">  9.  </w:t>
      </w:r>
      <w:r>
        <w:rPr>
          <w:sz w:val="22"/>
        </w:rPr>
        <w:t>Inteligencia Artificial y Análisis</w:t>
      </w:r>
    </w:p>
    <w:p>
      <w:pPr>
        <w:spacing w:after="80"/>
      </w:pPr>
      <w:r>
        <w:rPr>
          <w:b/>
        </w:rPr>
        <w:t xml:space="preserve">  10.  </w:t>
      </w:r>
      <w:r>
        <w:rPr>
          <w:sz w:val="22"/>
        </w:rPr>
        <w:t>Frontend y Componentes</w:t>
      </w:r>
    </w:p>
    <w:p>
      <w:pPr>
        <w:spacing w:after="80"/>
      </w:pPr>
      <w:r>
        <w:rPr>
          <w:b/>
        </w:rPr>
        <w:t xml:space="preserve">  11.  </w:t>
      </w:r>
      <w:r>
        <w:rPr>
          <w:sz w:val="22"/>
        </w:rPr>
        <w:t>Despliegue y Operaciones</w:t>
      </w:r>
    </w:p>
    <w:p>
      <w:pPr>
        <w:spacing w:after="80"/>
      </w:pPr>
      <w:r>
        <w:rPr>
          <w:b/>
        </w:rPr>
        <w:t xml:space="preserve">  12.  </w:t>
      </w:r>
      <w:r>
        <w:rPr>
          <w:sz w:val="22"/>
        </w:rPr>
        <w:t>Guía de Configuración</w:t>
      </w:r>
    </w:p>
    <w:p>
      <w:r>
        <w:br w:type="page"/>
      </w:r>
    </w:p>
    <w:p>
      <w:pPr>
        <w:pStyle w:val="Heading1"/>
      </w:pPr>
      <w:r>
        <w:rPr>
          <w:b/>
          <w:color w:val="1E40AF"/>
          <w:sz w:val="36"/>
        </w:rPr>
        <w:t>1. Resumen Ejecutivo</w:t>
      </w:r>
    </w:p>
    <w:p>
      <w:pPr>
        <w:spacing w:after="120"/>
      </w:pPr>
      <w:r>
        <w:rPr>
          <w:sz w:val="21"/>
        </w:rPr>
        <w:t>DataMate Edu es un portal web de inteligencia financiera y educativa diseñado para la Superintendencia de Educación (SIE) de Chile. La plataforma procesa, analiza y visualiza los estados financieros de 24.463 sostenedores educacionales subvencionados, permitiendo a los supervisores identificar riesgos financieros, anomalías contables y patrones de ineficiencia pedagógica en tiempo real.</w:t>
      </w:r>
    </w:p>
    <w:p>
      <w:pPr>
        <w:spacing w:after="120"/>
      </w:pPr>
      <w:r>
        <w:rPr>
          <w:b/>
          <w:sz w:val="21"/>
        </w:rPr>
        <w:t>El sistema integra tres fuentes de datos principales:</w:t>
      </w:r>
    </w:p>
    <w:p>
      <w:pPr>
        <w:pStyle w:val="ListBullet"/>
        <w:spacing w:after="60"/>
      </w:pPr>
      <w:r>
        <w:rPr>
          <w:sz w:val="21"/>
        </w:rPr>
        <w:t>Datos del Desafío SIE: estados de resultado, remuneraciones y documentos contables de sostenedores (período 2020)</w:t>
      </w:r>
    </w:p>
    <w:p>
      <w:pPr>
        <w:pStyle w:val="ListBullet"/>
        <w:spacing w:after="60"/>
      </w:pPr>
      <w:r>
        <w:rPr>
          <w:sz w:val="21"/>
        </w:rPr>
        <w:t>Datos MINEDUC Abiertos: matrícula, dotación docente y puntajes SNED (2023–2024)</w:t>
      </w:r>
    </w:p>
    <w:p>
      <w:pPr>
        <w:pStyle w:val="ListBullet"/>
        <w:spacing w:after="60"/>
      </w:pPr>
      <w:r>
        <w:rPr>
          <w:sz w:val="21"/>
        </w:rPr>
        <w:t>Motor de IA Claude (Anthropic): análisis estratégico, consultas en lenguaje natural e informes individuales por sostenedor</w:t>
      </w:r>
    </w:p>
    <w:p>
      <w:pPr>
        <w:spacing w:after="120"/>
      </w:pPr>
      <w:r>
        <w:rPr>
          <w:b/>
          <w:sz w:val="21"/>
        </w:rPr>
        <w:t>Métricas del sistema actual:</w:t>
      </w:r>
    </w:p>
    <w:tbl>
      <w:tblPr>
        <w:tblStyle w:val="TableGrid"/>
        <w:tblW w:type="auto" w:w="0"/>
        <w:tblLook w:firstColumn="1" w:firstRow="1" w:lastColumn="0" w:lastRow="0" w:noHBand="0" w:noVBand="1" w:val="04A0"/>
      </w:tblPr>
      <w:tblGrid>
        <w:gridCol w:w="4392"/>
        <w:gridCol w:w="4392"/>
      </w:tblGrid>
      <w:tr>
        <w:tc>
          <w:tcPr>
            <w:tcW w:type="dxa" w:w="4392"/>
            <w:shd w:val="clear" w:color="auto" w:fill="1E40AF"/>
          </w:tcPr>
          <w:p>
            <w:pPr>
              <w:jc w:val="center"/>
            </w:pPr>
            <w:r>
              <w:rPr>
                <w:b/>
                <w:color w:val="FFFFFF"/>
                <w:sz w:val="19"/>
              </w:rPr>
              <w:t>Métrica</w:t>
            </w:r>
          </w:p>
        </w:tc>
        <w:tc>
          <w:tcPr>
            <w:tcW w:type="dxa" w:w="4392"/>
            <w:shd w:val="clear" w:color="auto" w:fill="1E40AF"/>
          </w:tcPr>
          <w:p>
            <w:pPr>
              <w:jc w:val="center"/>
            </w:pPr>
            <w:r>
              <w:rPr>
                <w:b/>
                <w:color w:val="FFFFFF"/>
                <w:sz w:val="19"/>
              </w:rPr>
              <w:t>Valor</w:t>
            </w:r>
          </w:p>
        </w:tc>
      </w:tr>
      <w:tr>
        <w:tc>
          <w:tcPr>
            <w:tcW w:type="dxa" w:w="4392"/>
            <w:shd w:val="clear" w:color="auto" w:fill="EFF6FF"/>
          </w:tcPr>
          <w:p>
            <w:r>
              <w:rPr>
                <w:sz w:val="19"/>
              </w:rPr>
              <w:t>Sostenedores procesados</w:t>
            </w:r>
          </w:p>
        </w:tc>
        <w:tc>
          <w:tcPr>
            <w:tcW w:type="dxa" w:w="4392"/>
            <w:shd w:val="clear" w:color="auto" w:fill="EFF6FF"/>
          </w:tcPr>
          <w:p>
            <w:r>
              <w:rPr>
                <w:sz w:val="19"/>
              </w:rPr>
              <w:t>24.463</w:t>
            </w:r>
          </w:p>
        </w:tc>
      </w:tr>
      <w:tr>
        <w:tc>
          <w:tcPr>
            <w:tcW w:type="dxa" w:w="4392"/>
            <w:shd w:val="clear" w:color="auto" w:fill="FFFFFF"/>
          </w:tcPr>
          <w:p>
            <w:r>
              <w:rPr>
                <w:sz w:val="19"/>
              </w:rPr>
              <w:t>Períodos fiscales disponibles</w:t>
            </w:r>
          </w:p>
        </w:tc>
        <w:tc>
          <w:tcPr>
            <w:tcW w:type="dxa" w:w="4392"/>
            <w:shd w:val="clear" w:color="auto" w:fill="FFFFFF"/>
          </w:tcPr>
          <w:p>
            <w:r>
              <w:rPr>
                <w:sz w:val="19"/>
              </w:rPr>
              <w:t>2020</w:t>
            </w:r>
          </w:p>
        </w:tc>
      </w:tr>
      <w:tr>
        <w:tc>
          <w:tcPr>
            <w:tcW w:type="dxa" w:w="4392"/>
            <w:shd w:val="clear" w:color="auto" w:fill="EFF6FF"/>
          </w:tcPr>
          <w:p>
            <w:r>
              <w:rPr>
                <w:sz w:val="19"/>
              </w:rPr>
              <w:t>Registros en estado_resultado</w:t>
            </w:r>
          </w:p>
        </w:tc>
        <w:tc>
          <w:tcPr>
            <w:tcW w:type="dxa" w:w="4392"/>
            <w:shd w:val="clear" w:color="auto" w:fill="EFF6FF"/>
          </w:tcPr>
          <w:p>
            <w:r>
              <w:rPr>
                <w:sz w:val="19"/>
              </w:rPr>
              <w:t>&gt;500.000 filas</w:t>
            </w:r>
          </w:p>
        </w:tc>
      </w:tr>
      <w:tr>
        <w:tc>
          <w:tcPr>
            <w:tcW w:type="dxa" w:w="4392"/>
            <w:shd w:val="clear" w:color="auto" w:fill="FFFFFF"/>
          </w:tcPr>
          <w:p>
            <w:r>
              <w:rPr>
                <w:sz w:val="19"/>
              </w:rPr>
              <w:t>Registros de remuneraciones</w:t>
            </w:r>
          </w:p>
        </w:tc>
        <w:tc>
          <w:tcPr>
            <w:tcW w:type="dxa" w:w="4392"/>
            <w:shd w:val="clear" w:color="auto" w:fill="FFFFFF"/>
          </w:tcPr>
          <w:p>
            <w:r>
              <w:rPr>
                <w:sz w:val="19"/>
              </w:rPr>
              <w:t>&gt;300.000 filas</w:t>
            </w:r>
          </w:p>
        </w:tc>
      </w:tr>
      <w:tr>
        <w:tc>
          <w:tcPr>
            <w:tcW w:type="dxa" w:w="4392"/>
            <w:shd w:val="clear" w:color="auto" w:fill="EFF6FF"/>
          </w:tcPr>
          <w:p>
            <w:r>
              <w:rPr>
                <w:sz w:val="19"/>
              </w:rPr>
              <w:t>Cobertura MINEDUC (matrícula)</w:t>
            </w:r>
          </w:p>
        </w:tc>
        <w:tc>
          <w:tcPr>
            <w:tcW w:type="dxa" w:w="4392"/>
            <w:shd w:val="clear" w:color="auto" w:fill="EFF6FF"/>
          </w:tcPr>
          <w:p>
            <w:r>
              <w:rPr>
                <w:sz w:val="19"/>
              </w:rPr>
              <w:t>~40% (escuelas subvencionadas)</w:t>
            </w:r>
          </w:p>
        </w:tc>
      </w:tr>
      <w:tr>
        <w:tc>
          <w:tcPr>
            <w:tcW w:type="dxa" w:w="4392"/>
            <w:shd w:val="clear" w:color="auto" w:fill="FFFFFF"/>
          </w:tcPr>
          <w:p>
            <w:r>
              <w:rPr>
                <w:sz w:val="19"/>
              </w:rPr>
              <w:t>Establecimientos MINEDUC</w:t>
            </w:r>
          </w:p>
        </w:tc>
        <w:tc>
          <w:tcPr>
            <w:tcW w:type="dxa" w:w="4392"/>
            <w:shd w:val="clear" w:color="auto" w:fill="FFFFFF"/>
          </w:tcPr>
          <w:p>
            <w:r>
              <w:rPr>
                <w:sz w:val="19"/>
              </w:rPr>
              <w:t>13.977 registros sostenedor-año</w:t>
            </w:r>
          </w:p>
        </w:tc>
      </w:tr>
      <w:tr>
        <w:tc>
          <w:tcPr>
            <w:tcW w:type="dxa" w:w="4392"/>
            <w:shd w:val="clear" w:color="auto" w:fill="EFF6FF"/>
          </w:tcPr>
          <w:p>
            <w:r>
              <w:rPr>
                <w:sz w:val="19"/>
              </w:rPr>
              <w:t>Tiempo de carga del portal</w:t>
            </w:r>
          </w:p>
        </w:tc>
        <w:tc>
          <w:tcPr>
            <w:tcW w:type="dxa" w:w="4392"/>
            <w:shd w:val="clear" w:color="auto" w:fill="EFF6FF"/>
          </w:tcPr>
          <w:p>
            <w:r>
              <w:rPr>
                <w:sz w:val="19"/>
              </w:rPr>
              <w:t>&lt;2 segundos</w:t>
            </w:r>
          </w:p>
        </w:tc>
      </w:tr>
      <w:tr>
        <w:tc>
          <w:tcPr>
            <w:tcW w:type="dxa" w:w="4392"/>
            <w:shd w:val="clear" w:color="auto" w:fill="FFFFFF"/>
          </w:tcPr>
          <w:p>
            <w:r>
              <w:rPr>
                <w:sz w:val="19"/>
              </w:rPr>
              <w:t>Uptime objetivo</w:t>
            </w:r>
          </w:p>
        </w:tc>
        <w:tc>
          <w:tcPr>
            <w:tcW w:type="dxa" w:w="4392"/>
            <w:shd w:val="clear" w:color="auto" w:fill="FFFFFF"/>
          </w:tcPr>
          <w:p>
            <w:r>
              <w:rPr>
                <w:sz w:val="19"/>
              </w:rPr>
              <w:t>99.9% (Vercel Edge)</w:t>
            </w:r>
          </w:p>
        </w:tc>
      </w:tr>
    </w:tbl>
    <w:p/>
    <w:p>
      <w:r>
        <w:br w:type="page"/>
      </w:r>
    </w:p>
    <w:p>
      <w:pPr>
        <w:pStyle w:val="Heading1"/>
      </w:pPr>
      <w:r>
        <w:rPr>
          <w:b/>
          <w:color w:val="1E40AF"/>
          <w:sz w:val="36"/>
        </w:rPr>
        <w:t>2. Visión General del Sistema</w:t>
      </w:r>
    </w:p>
    <w:p>
      <w:pPr>
        <w:pStyle w:val="Heading2"/>
      </w:pPr>
      <w:r>
        <w:rPr>
          <w:b/>
          <w:color w:val="1D4ED8"/>
          <w:sz w:val="28"/>
        </w:rPr>
        <w:t>2.1 Objetivos del Sistema</w:t>
      </w:r>
    </w:p>
    <w:p>
      <w:pPr>
        <w:pStyle w:val="ListBullet"/>
        <w:spacing w:after="60"/>
      </w:pPr>
      <w:r>
        <w:rPr>
          <w:sz w:val="21"/>
        </w:rPr>
        <w:t>Centralizar y visualizar los datos fiscales de los sostenedores en un único portal</w:t>
      </w:r>
    </w:p>
    <w:p>
      <w:pPr>
        <w:pStyle w:val="ListBullet"/>
        <w:spacing w:after="60"/>
      </w:pPr>
      <w:r>
        <w:rPr>
          <w:sz w:val="21"/>
        </w:rPr>
        <w:t>Detectar automáticamente anomalías y riesgos financieros mediante indicadores cuantitativos</w:t>
      </w:r>
    </w:p>
    <w:p>
      <w:pPr>
        <w:pStyle w:val="ListBullet"/>
        <w:spacing w:after="60"/>
      </w:pPr>
      <w:r>
        <w:rPr>
          <w:sz w:val="21"/>
        </w:rPr>
        <w:t>Cruzar datos fiscales con indicadores educativos del MINEDUC (matrícula, SNED, docentes)</w:t>
      </w:r>
    </w:p>
    <w:p>
      <w:pPr>
        <w:pStyle w:val="ListBullet"/>
        <w:spacing w:after="60"/>
      </w:pPr>
      <w:r>
        <w:rPr>
          <w:sz w:val="21"/>
        </w:rPr>
        <w:t>Proporcionar análisis estratégico generado por IA para cada sostenedor y para el portfolio completo</w:t>
      </w:r>
    </w:p>
    <w:p>
      <w:pPr>
        <w:pStyle w:val="ListBullet"/>
        <w:spacing w:after="60"/>
      </w:pPr>
      <w:r>
        <w:rPr>
          <w:sz w:val="21"/>
        </w:rPr>
        <w:t>Habilitar consultas en lenguaje natural sobre los datos del portfolio</w:t>
      </w:r>
    </w:p>
    <w:p>
      <w:pPr>
        <w:pStyle w:val="Heading2"/>
      </w:pPr>
      <w:r>
        <w:rPr>
          <w:b/>
          <w:color w:val="1D4ED8"/>
          <w:sz w:val="28"/>
        </w:rPr>
        <w:t>2.2 Usuarios Objetivo</w:t>
      </w:r>
    </w:p>
    <w:tbl>
      <w:tblPr>
        <w:tblStyle w:val="TableGrid"/>
        <w:tblW w:type="auto" w:w="0"/>
        <w:tblLook w:firstColumn="1" w:firstRow="1" w:lastColumn="0" w:lastRow="0" w:noHBand="0" w:noVBand="1" w:val="04A0"/>
      </w:tblPr>
      <w:tblGrid>
        <w:gridCol w:w="4392"/>
        <w:gridCol w:w="4392"/>
      </w:tblGrid>
      <w:tr>
        <w:tc>
          <w:tcPr>
            <w:tcW w:type="dxa" w:w="4392"/>
            <w:shd w:val="clear" w:color="auto" w:fill="1E40AF"/>
          </w:tcPr>
          <w:p>
            <w:pPr>
              <w:jc w:val="center"/>
            </w:pPr>
            <w:r>
              <w:rPr>
                <w:b/>
                <w:color w:val="FFFFFF"/>
                <w:sz w:val="19"/>
              </w:rPr>
              <w:t>Perfil</w:t>
            </w:r>
          </w:p>
        </w:tc>
        <w:tc>
          <w:tcPr>
            <w:tcW w:type="dxa" w:w="4392"/>
            <w:shd w:val="clear" w:color="auto" w:fill="1E40AF"/>
          </w:tcPr>
          <w:p>
            <w:pPr>
              <w:jc w:val="center"/>
            </w:pPr>
            <w:r>
              <w:rPr>
                <w:b/>
                <w:color w:val="FFFFFF"/>
                <w:sz w:val="19"/>
              </w:rPr>
              <w:t>Uso Principal</w:t>
            </w:r>
          </w:p>
        </w:tc>
      </w:tr>
      <w:tr>
        <w:tc>
          <w:tcPr>
            <w:tcW w:type="dxa" w:w="4392"/>
            <w:shd w:val="clear" w:color="auto" w:fill="EFF6FF"/>
          </w:tcPr>
          <w:p>
            <w:r>
              <w:rPr>
                <w:sz w:val="19"/>
              </w:rPr>
              <w:t>Supervisor SIE</w:t>
            </w:r>
          </w:p>
        </w:tc>
        <w:tc>
          <w:tcPr>
            <w:tcW w:type="dxa" w:w="4392"/>
            <w:shd w:val="clear" w:color="auto" w:fill="EFF6FF"/>
          </w:tcPr>
          <w:p>
            <w:r>
              <w:rPr>
                <w:sz w:val="19"/>
              </w:rPr>
              <w:t>Monitoreo de riesgo financiero, detección de alertas</w:t>
            </w:r>
          </w:p>
        </w:tc>
      </w:tr>
      <w:tr>
        <w:tc>
          <w:tcPr>
            <w:tcW w:type="dxa" w:w="4392"/>
            <w:shd w:val="clear" w:color="auto" w:fill="FFFFFF"/>
          </w:tcPr>
          <w:p>
            <w:r>
              <w:rPr>
                <w:sz w:val="19"/>
              </w:rPr>
              <w:t>Analista de Datos</w:t>
            </w:r>
          </w:p>
        </w:tc>
        <w:tc>
          <w:tcPr>
            <w:tcW w:type="dxa" w:w="4392"/>
            <w:shd w:val="clear" w:color="auto" w:fill="FFFFFF"/>
          </w:tcPr>
          <w:p>
            <w:r>
              <w:rPr>
                <w:sz w:val="19"/>
              </w:rPr>
              <w:t>Exploración del portfolio, consultas IA, exportación</w:t>
            </w:r>
          </w:p>
        </w:tc>
      </w:tr>
      <w:tr>
        <w:tc>
          <w:tcPr>
            <w:tcW w:type="dxa" w:w="4392"/>
            <w:shd w:val="clear" w:color="auto" w:fill="EFF6FF"/>
          </w:tcPr>
          <w:p>
            <w:r>
              <w:rPr>
                <w:sz w:val="19"/>
              </w:rPr>
              <w:t>Director de Fiscalización</w:t>
            </w:r>
          </w:p>
        </w:tc>
        <w:tc>
          <w:tcPr>
            <w:tcW w:type="dxa" w:w="4392"/>
            <w:shd w:val="clear" w:color="auto" w:fill="EFF6FF"/>
          </w:tcPr>
          <w:p>
            <w:r>
              <w:rPr>
                <w:sz w:val="19"/>
              </w:rPr>
              <w:t>Informes ejecutivos, análisis profundo con IA</w:t>
            </w:r>
          </w:p>
        </w:tc>
      </w:tr>
      <w:tr>
        <w:tc>
          <w:tcPr>
            <w:tcW w:type="dxa" w:w="4392"/>
            <w:shd w:val="clear" w:color="auto" w:fill="FFFFFF"/>
          </w:tcPr>
          <w:p>
            <w:r>
              <w:rPr>
                <w:sz w:val="19"/>
              </w:rPr>
              <w:t>Equipo DataMate</w:t>
            </w:r>
          </w:p>
        </w:tc>
        <w:tc>
          <w:tcPr>
            <w:tcW w:type="dxa" w:w="4392"/>
            <w:shd w:val="clear" w:color="auto" w:fill="FFFFFF"/>
          </w:tcPr>
          <w:p>
            <w:r>
              <w:rPr>
                <w:sz w:val="19"/>
              </w:rPr>
              <w:t>Administración técnica, actualización de datos</w:t>
            </w:r>
          </w:p>
        </w:tc>
      </w:tr>
    </w:tbl>
    <w:p/>
    <w:p>
      <w:pPr>
        <w:pStyle w:val="Heading2"/>
      </w:pPr>
      <w:r>
        <w:rPr>
          <w:b/>
          <w:color w:val="1D4ED8"/>
          <w:sz w:val="28"/>
        </w:rPr>
        <w:t>2.3 Flujo de Alto Nivel</w:t>
      </w:r>
    </w:p>
    <w:p>
      <w:pPr>
        <w:spacing w:after="120"/>
      </w:pPr>
      <w:r>
        <w:rPr>
          <w:b/>
          <w:sz w:val="21"/>
        </w:rPr>
        <w:t>El flujo de datos sigue el siguiente recorrido:</w:t>
      </w:r>
    </w:p>
    <w:p>
      <w:pPr>
        <w:spacing w:before="80" w:after="80"/>
        <w:ind w:left="567"/>
        <w:shd w:val="clear" w:color="auto" w:fill="F3F4F6"/>
      </w:pPr>
      <w:r>
        <w:rPr>
          <w:rFonts w:ascii="Courier New" w:hAnsi="Courier New"/>
          <w:color w:val="1A1A2E"/>
          <w:sz w:val="18"/>
        </w:rPr>
        <w:t>Datos SIE (Excel/CSV)  ──►  Supabase PostgreSQL (desafio schema)</w:t>
        <w:br/>
        <w:t>Datos MINEDUC (.rar)   ──►  Python ETL  ──►  Supabase (public schema)</w:t>
        <w:br/>
        <w:t xml:space="preserve">                                                       │</w:t>
        <w:br/>
        <w:t xml:space="preserve">                                          Next.js 15 API Routes</w:t>
        <w:br/>
        <w:t xml:space="preserve">                                                       │</w:t>
        <w:br/>
        <w:t xml:space="preserve">                                   ┌─────────────────────────────────┐</w:t>
        <w:br/>
        <w:t xml:space="preserve">                                   │  Portal DataMate Edu (Frontend)  │</w:t>
        <w:br/>
        <w:t xml:space="preserve">                                   │  Perfiles · Inteligencia · GNA   │</w:t>
        <w:br/>
        <w:t xml:space="preserve">                                   │  EduBot · Alertas · MINEDUC      │</w:t>
        <w:br/>
        <w:t xml:space="preserve">                                   └─────────────────────────────────┘</w:t>
        <w:br/>
        <w:t xml:space="preserve">                                                       │</w:t>
        <w:br/>
        <w:t xml:space="preserve">                                         Claude API (Anthropic)</w:t>
        <w:br/>
        <w:t xml:space="preserve">                                     Análisis IA + Consultas NL</w:t>
      </w:r>
    </w:p>
    <w:p>
      <w:r>
        <w:br w:type="page"/>
      </w:r>
    </w:p>
    <w:p>
      <w:pPr>
        <w:pStyle w:val="Heading1"/>
      </w:pPr>
      <w:r>
        <w:rPr>
          <w:b/>
          <w:color w:val="1E40AF"/>
          <w:sz w:val="36"/>
        </w:rPr>
        <w:t>3. Arquitectura Técnica</w:t>
      </w:r>
    </w:p>
    <w:p>
      <w:pPr>
        <w:pStyle w:val="Heading2"/>
      </w:pPr>
      <w:r>
        <w:rPr>
          <w:b/>
          <w:color w:val="1D4ED8"/>
          <w:sz w:val="28"/>
        </w:rPr>
        <w:t>3.1 Stack Tecnológico</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E40AF"/>
          </w:tcPr>
          <w:p>
            <w:pPr>
              <w:jc w:val="center"/>
            </w:pPr>
            <w:r>
              <w:rPr>
                <w:b/>
                <w:color w:val="FFFFFF"/>
                <w:sz w:val="19"/>
              </w:rPr>
              <w:t>Capa</w:t>
            </w:r>
          </w:p>
        </w:tc>
        <w:tc>
          <w:tcPr>
            <w:tcW w:type="dxa" w:w="2196"/>
            <w:shd w:val="clear" w:color="auto" w:fill="1E40AF"/>
          </w:tcPr>
          <w:p>
            <w:pPr>
              <w:jc w:val="center"/>
            </w:pPr>
            <w:r>
              <w:rPr>
                <w:b/>
                <w:color w:val="FFFFFF"/>
                <w:sz w:val="19"/>
              </w:rPr>
              <w:t>Tecnología</w:t>
            </w:r>
          </w:p>
        </w:tc>
        <w:tc>
          <w:tcPr>
            <w:tcW w:type="dxa" w:w="2196"/>
            <w:shd w:val="clear" w:color="auto" w:fill="1E40AF"/>
          </w:tcPr>
          <w:p>
            <w:pPr>
              <w:jc w:val="center"/>
            </w:pPr>
            <w:r>
              <w:rPr>
                <w:b/>
                <w:color w:val="FFFFFF"/>
                <w:sz w:val="19"/>
              </w:rPr>
              <w:t>Versión</w:t>
            </w:r>
          </w:p>
        </w:tc>
        <w:tc>
          <w:tcPr>
            <w:tcW w:type="dxa" w:w="2196"/>
            <w:shd w:val="clear" w:color="auto" w:fill="1E40AF"/>
          </w:tcPr>
          <w:p>
            <w:pPr>
              <w:jc w:val="center"/>
            </w:pPr>
            <w:r>
              <w:rPr>
                <w:b/>
                <w:color w:val="FFFFFF"/>
                <w:sz w:val="19"/>
              </w:rPr>
              <w:t>Propósito</w:t>
            </w:r>
          </w:p>
        </w:tc>
      </w:tr>
      <w:tr>
        <w:tc>
          <w:tcPr>
            <w:tcW w:type="dxa" w:w="2196"/>
            <w:shd w:val="clear" w:color="auto" w:fill="EFF6FF"/>
          </w:tcPr>
          <w:p>
            <w:r>
              <w:rPr>
                <w:sz w:val="19"/>
              </w:rPr>
              <w:t>Frontend</w:t>
            </w:r>
          </w:p>
        </w:tc>
        <w:tc>
          <w:tcPr>
            <w:tcW w:type="dxa" w:w="2196"/>
            <w:shd w:val="clear" w:color="auto" w:fill="EFF6FF"/>
          </w:tcPr>
          <w:p>
            <w:r>
              <w:rPr>
                <w:sz w:val="19"/>
              </w:rPr>
              <w:t>Next.js</w:t>
            </w:r>
          </w:p>
        </w:tc>
        <w:tc>
          <w:tcPr>
            <w:tcW w:type="dxa" w:w="2196"/>
            <w:shd w:val="clear" w:color="auto" w:fill="EFF6FF"/>
          </w:tcPr>
          <w:p>
            <w:r>
              <w:rPr>
                <w:sz w:val="19"/>
              </w:rPr>
              <w:t>15.x (App Router)</w:t>
            </w:r>
          </w:p>
        </w:tc>
        <w:tc>
          <w:tcPr>
            <w:tcW w:type="dxa" w:w="2196"/>
            <w:shd w:val="clear" w:color="auto" w:fill="EFF6FF"/>
          </w:tcPr>
          <w:p>
            <w:r>
              <w:rPr>
                <w:sz w:val="19"/>
              </w:rPr>
              <w:t>Framework React con SSR/SSG</w:t>
            </w:r>
          </w:p>
        </w:tc>
      </w:tr>
      <w:tr>
        <w:tc>
          <w:tcPr>
            <w:tcW w:type="dxa" w:w="2196"/>
            <w:shd w:val="clear" w:color="auto" w:fill="FFFFFF"/>
          </w:tcPr>
          <w:p>
            <w:r>
              <w:rPr>
                <w:sz w:val="19"/>
              </w:rPr>
              <w:t>Frontend</w:t>
            </w:r>
          </w:p>
        </w:tc>
        <w:tc>
          <w:tcPr>
            <w:tcW w:type="dxa" w:w="2196"/>
            <w:shd w:val="clear" w:color="auto" w:fill="FFFFFF"/>
          </w:tcPr>
          <w:p>
            <w:r>
              <w:rPr>
                <w:sz w:val="19"/>
              </w:rPr>
              <w:t>TypeScript</w:t>
            </w:r>
          </w:p>
        </w:tc>
        <w:tc>
          <w:tcPr>
            <w:tcW w:type="dxa" w:w="2196"/>
            <w:shd w:val="clear" w:color="auto" w:fill="FFFFFF"/>
          </w:tcPr>
          <w:p>
            <w:r>
              <w:rPr>
                <w:sz w:val="19"/>
              </w:rPr>
              <w:t>5.x (strict mode)</w:t>
            </w:r>
          </w:p>
        </w:tc>
        <w:tc>
          <w:tcPr>
            <w:tcW w:type="dxa" w:w="2196"/>
            <w:shd w:val="clear" w:color="auto" w:fill="FFFFFF"/>
          </w:tcPr>
          <w:p>
            <w:r>
              <w:rPr>
                <w:sz w:val="19"/>
              </w:rPr>
              <w:t>Tipado estático</w:t>
            </w:r>
          </w:p>
        </w:tc>
      </w:tr>
      <w:tr>
        <w:tc>
          <w:tcPr>
            <w:tcW w:type="dxa" w:w="2196"/>
            <w:shd w:val="clear" w:color="auto" w:fill="EFF6FF"/>
          </w:tcPr>
          <w:p>
            <w:r>
              <w:rPr>
                <w:sz w:val="19"/>
              </w:rPr>
              <w:t>Frontend</w:t>
            </w:r>
          </w:p>
        </w:tc>
        <w:tc>
          <w:tcPr>
            <w:tcW w:type="dxa" w:w="2196"/>
            <w:shd w:val="clear" w:color="auto" w:fill="EFF6FF"/>
          </w:tcPr>
          <w:p>
            <w:r>
              <w:rPr>
                <w:sz w:val="19"/>
              </w:rPr>
              <w:t>Tailwind CSS</w:t>
            </w:r>
          </w:p>
        </w:tc>
        <w:tc>
          <w:tcPr>
            <w:tcW w:type="dxa" w:w="2196"/>
            <w:shd w:val="clear" w:color="auto" w:fill="EFF6FF"/>
          </w:tcPr>
          <w:p>
            <w:r>
              <w:rPr>
                <w:sz w:val="19"/>
              </w:rPr>
              <w:t>3.x</w:t>
            </w:r>
          </w:p>
        </w:tc>
        <w:tc>
          <w:tcPr>
            <w:tcW w:type="dxa" w:w="2196"/>
            <w:shd w:val="clear" w:color="auto" w:fill="EFF6FF"/>
          </w:tcPr>
          <w:p>
            <w:r>
              <w:rPr>
                <w:sz w:val="19"/>
              </w:rPr>
              <w:t>Estilos utilitarios</w:t>
            </w:r>
          </w:p>
        </w:tc>
      </w:tr>
      <w:tr>
        <w:tc>
          <w:tcPr>
            <w:tcW w:type="dxa" w:w="2196"/>
            <w:shd w:val="clear" w:color="auto" w:fill="FFFFFF"/>
          </w:tcPr>
          <w:p>
            <w:r>
              <w:rPr>
                <w:sz w:val="19"/>
              </w:rPr>
              <w:t>Frontend</w:t>
            </w:r>
          </w:p>
        </w:tc>
        <w:tc>
          <w:tcPr>
            <w:tcW w:type="dxa" w:w="2196"/>
            <w:shd w:val="clear" w:color="auto" w:fill="FFFFFF"/>
          </w:tcPr>
          <w:p>
            <w:r>
              <w:rPr>
                <w:sz w:val="19"/>
              </w:rPr>
              <w:t>Recharts</w:t>
            </w:r>
          </w:p>
        </w:tc>
        <w:tc>
          <w:tcPr>
            <w:tcW w:type="dxa" w:w="2196"/>
            <w:shd w:val="clear" w:color="auto" w:fill="FFFFFF"/>
          </w:tcPr>
          <w:p>
            <w:r>
              <w:rPr>
                <w:sz w:val="19"/>
              </w:rPr>
              <w:t>2.x</w:t>
            </w:r>
          </w:p>
        </w:tc>
        <w:tc>
          <w:tcPr>
            <w:tcW w:type="dxa" w:w="2196"/>
            <w:shd w:val="clear" w:color="auto" w:fill="FFFFFF"/>
          </w:tcPr>
          <w:p>
            <w:r>
              <w:rPr>
                <w:sz w:val="19"/>
              </w:rPr>
              <w:t>Gráficos interactivos</w:t>
            </w:r>
          </w:p>
        </w:tc>
      </w:tr>
      <w:tr>
        <w:tc>
          <w:tcPr>
            <w:tcW w:type="dxa" w:w="2196"/>
            <w:shd w:val="clear" w:color="auto" w:fill="EFF6FF"/>
          </w:tcPr>
          <w:p>
            <w:r>
              <w:rPr>
                <w:sz w:val="19"/>
              </w:rPr>
              <w:t>Frontend</w:t>
            </w:r>
          </w:p>
        </w:tc>
        <w:tc>
          <w:tcPr>
            <w:tcW w:type="dxa" w:w="2196"/>
            <w:shd w:val="clear" w:color="auto" w:fill="EFF6FF"/>
          </w:tcPr>
          <w:p>
            <w:r>
              <w:rPr>
                <w:sz w:val="19"/>
              </w:rPr>
              <w:t>Lucide React</w:t>
            </w:r>
          </w:p>
        </w:tc>
        <w:tc>
          <w:tcPr>
            <w:tcW w:type="dxa" w:w="2196"/>
            <w:shd w:val="clear" w:color="auto" w:fill="EFF6FF"/>
          </w:tcPr>
          <w:p>
            <w:r>
              <w:rPr>
                <w:sz w:val="19"/>
              </w:rPr>
              <w:t>latest</w:t>
            </w:r>
          </w:p>
        </w:tc>
        <w:tc>
          <w:tcPr>
            <w:tcW w:type="dxa" w:w="2196"/>
            <w:shd w:val="clear" w:color="auto" w:fill="EFF6FF"/>
          </w:tcPr>
          <w:p>
            <w:r>
              <w:rPr>
                <w:sz w:val="19"/>
              </w:rPr>
              <w:t>Iconografía</w:t>
            </w:r>
          </w:p>
        </w:tc>
      </w:tr>
      <w:tr>
        <w:tc>
          <w:tcPr>
            <w:tcW w:type="dxa" w:w="2196"/>
            <w:shd w:val="clear" w:color="auto" w:fill="FFFFFF"/>
          </w:tcPr>
          <w:p>
            <w:r>
              <w:rPr>
                <w:sz w:val="19"/>
              </w:rPr>
              <w:t>Backend</w:t>
            </w:r>
          </w:p>
        </w:tc>
        <w:tc>
          <w:tcPr>
            <w:tcW w:type="dxa" w:w="2196"/>
            <w:shd w:val="clear" w:color="auto" w:fill="FFFFFF"/>
          </w:tcPr>
          <w:p>
            <w:r>
              <w:rPr>
                <w:sz w:val="19"/>
              </w:rPr>
              <w:t>Next.js API Routes</w:t>
            </w:r>
          </w:p>
        </w:tc>
        <w:tc>
          <w:tcPr>
            <w:tcW w:type="dxa" w:w="2196"/>
            <w:shd w:val="clear" w:color="auto" w:fill="FFFFFF"/>
          </w:tcPr>
          <w:p>
            <w:r>
              <w:rPr>
                <w:sz w:val="19"/>
              </w:rPr>
              <w:t>15.x</w:t>
            </w:r>
          </w:p>
        </w:tc>
        <w:tc>
          <w:tcPr>
            <w:tcW w:type="dxa" w:w="2196"/>
            <w:shd w:val="clear" w:color="auto" w:fill="FFFFFF"/>
          </w:tcPr>
          <w:p>
            <w:r>
              <w:rPr>
                <w:sz w:val="19"/>
              </w:rPr>
              <w:t>Endpoints REST</w:t>
            </w:r>
          </w:p>
        </w:tc>
      </w:tr>
      <w:tr>
        <w:tc>
          <w:tcPr>
            <w:tcW w:type="dxa" w:w="2196"/>
            <w:shd w:val="clear" w:color="auto" w:fill="EFF6FF"/>
          </w:tcPr>
          <w:p>
            <w:r>
              <w:rPr>
                <w:sz w:val="19"/>
              </w:rPr>
              <w:t>Base de datos</w:t>
            </w:r>
          </w:p>
        </w:tc>
        <w:tc>
          <w:tcPr>
            <w:tcW w:type="dxa" w:w="2196"/>
            <w:shd w:val="clear" w:color="auto" w:fill="EFF6FF"/>
          </w:tcPr>
          <w:p>
            <w:r>
              <w:rPr>
                <w:sz w:val="19"/>
              </w:rPr>
              <w:t>PostgreSQL (Supabase)</w:t>
            </w:r>
          </w:p>
        </w:tc>
        <w:tc>
          <w:tcPr>
            <w:tcW w:type="dxa" w:w="2196"/>
            <w:shd w:val="clear" w:color="auto" w:fill="EFF6FF"/>
          </w:tcPr>
          <w:p>
            <w:r>
              <w:rPr>
                <w:sz w:val="19"/>
              </w:rPr>
              <w:t>15.x</w:t>
            </w:r>
          </w:p>
        </w:tc>
        <w:tc>
          <w:tcPr>
            <w:tcW w:type="dxa" w:w="2196"/>
            <w:shd w:val="clear" w:color="auto" w:fill="EFF6FF"/>
          </w:tcPr>
          <w:p>
            <w:r>
              <w:rPr>
                <w:sz w:val="19"/>
              </w:rPr>
              <w:t>Datos fiscales y MINEDUC</w:t>
            </w:r>
          </w:p>
        </w:tc>
      </w:tr>
      <w:tr>
        <w:tc>
          <w:tcPr>
            <w:tcW w:type="dxa" w:w="2196"/>
            <w:shd w:val="clear" w:color="auto" w:fill="FFFFFF"/>
          </w:tcPr>
          <w:p>
            <w:r>
              <w:rPr>
                <w:sz w:val="19"/>
              </w:rPr>
              <w:t>ORM / Cliente</w:t>
            </w:r>
          </w:p>
        </w:tc>
        <w:tc>
          <w:tcPr>
            <w:tcW w:type="dxa" w:w="2196"/>
            <w:shd w:val="clear" w:color="auto" w:fill="FFFFFF"/>
          </w:tcPr>
          <w:p>
            <w:r>
              <w:rPr>
                <w:sz w:val="19"/>
              </w:rPr>
              <w:t>Supabase JS</w:t>
            </w:r>
          </w:p>
        </w:tc>
        <w:tc>
          <w:tcPr>
            <w:tcW w:type="dxa" w:w="2196"/>
            <w:shd w:val="clear" w:color="auto" w:fill="FFFFFF"/>
          </w:tcPr>
          <w:p>
            <w:r>
              <w:rPr>
                <w:sz w:val="19"/>
              </w:rPr>
              <w:t>2.x</w:t>
            </w:r>
          </w:p>
        </w:tc>
        <w:tc>
          <w:tcPr>
            <w:tcW w:type="dxa" w:w="2196"/>
            <w:shd w:val="clear" w:color="auto" w:fill="FFFFFF"/>
          </w:tcPr>
          <w:p>
            <w:r>
              <w:rPr>
                <w:sz w:val="19"/>
              </w:rPr>
              <w:t>Queries tipadas</w:t>
            </w:r>
          </w:p>
        </w:tc>
      </w:tr>
      <w:tr>
        <w:tc>
          <w:tcPr>
            <w:tcW w:type="dxa" w:w="2196"/>
            <w:shd w:val="clear" w:color="auto" w:fill="EFF6FF"/>
          </w:tcPr>
          <w:p>
            <w:r>
              <w:rPr>
                <w:sz w:val="19"/>
              </w:rPr>
              <w:t>IA</w:t>
            </w:r>
          </w:p>
        </w:tc>
        <w:tc>
          <w:tcPr>
            <w:tcW w:type="dxa" w:w="2196"/>
            <w:shd w:val="clear" w:color="auto" w:fill="EFF6FF"/>
          </w:tcPr>
          <w:p>
            <w:r>
              <w:rPr>
                <w:sz w:val="19"/>
              </w:rPr>
              <w:t>Claude API (Anthropic)</w:t>
            </w:r>
          </w:p>
        </w:tc>
        <w:tc>
          <w:tcPr>
            <w:tcW w:type="dxa" w:w="2196"/>
            <w:shd w:val="clear" w:color="auto" w:fill="EFF6FF"/>
          </w:tcPr>
          <w:p>
            <w:r>
              <w:rPr>
                <w:sz w:val="19"/>
              </w:rPr>
              <w:t>claude-sonnet-4-6</w:t>
            </w:r>
          </w:p>
        </w:tc>
        <w:tc>
          <w:tcPr>
            <w:tcW w:type="dxa" w:w="2196"/>
            <w:shd w:val="clear" w:color="auto" w:fill="EFF6FF"/>
          </w:tcPr>
          <w:p>
            <w:r>
              <w:rPr>
                <w:sz w:val="19"/>
              </w:rPr>
              <w:t>Análisis y chat</w:t>
            </w:r>
          </w:p>
        </w:tc>
      </w:tr>
      <w:tr>
        <w:tc>
          <w:tcPr>
            <w:tcW w:type="dxa" w:w="2196"/>
            <w:shd w:val="clear" w:color="auto" w:fill="FFFFFF"/>
          </w:tcPr>
          <w:p>
            <w:r>
              <w:rPr>
                <w:sz w:val="19"/>
              </w:rPr>
              <w:t>ETL</w:t>
            </w:r>
          </w:p>
        </w:tc>
        <w:tc>
          <w:tcPr>
            <w:tcW w:type="dxa" w:w="2196"/>
            <w:shd w:val="clear" w:color="auto" w:fill="FFFFFF"/>
          </w:tcPr>
          <w:p>
            <w:r>
              <w:rPr>
                <w:sz w:val="19"/>
              </w:rPr>
              <w:t>Python 3.x</w:t>
            </w:r>
          </w:p>
        </w:tc>
        <w:tc>
          <w:tcPr>
            <w:tcW w:type="dxa" w:w="2196"/>
            <w:shd w:val="clear" w:color="auto" w:fill="FFFFFF"/>
          </w:tcPr>
          <w:p>
            <w:r>
              <w:rPr>
                <w:sz w:val="19"/>
              </w:rPr>
              <w:t>3.11+</w:t>
            </w:r>
          </w:p>
        </w:tc>
        <w:tc>
          <w:tcPr>
            <w:tcW w:type="dxa" w:w="2196"/>
            <w:shd w:val="clear" w:color="auto" w:fill="FFFFFF"/>
          </w:tcPr>
          <w:p>
            <w:r>
              <w:rPr>
                <w:sz w:val="19"/>
              </w:rPr>
              <w:t>Procesamiento MINEDUC</w:t>
            </w:r>
          </w:p>
        </w:tc>
      </w:tr>
      <w:tr>
        <w:tc>
          <w:tcPr>
            <w:tcW w:type="dxa" w:w="2196"/>
            <w:shd w:val="clear" w:color="auto" w:fill="EFF6FF"/>
          </w:tcPr>
          <w:p>
            <w:r>
              <w:rPr>
                <w:sz w:val="19"/>
              </w:rPr>
              <w:t>Despliegue</w:t>
            </w:r>
          </w:p>
        </w:tc>
        <w:tc>
          <w:tcPr>
            <w:tcW w:type="dxa" w:w="2196"/>
            <w:shd w:val="clear" w:color="auto" w:fill="EFF6FF"/>
          </w:tcPr>
          <w:p>
            <w:r>
              <w:rPr>
                <w:sz w:val="19"/>
              </w:rPr>
              <w:t>Vercel</w:t>
            </w:r>
          </w:p>
        </w:tc>
        <w:tc>
          <w:tcPr>
            <w:tcW w:type="dxa" w:w="2196"/>
            <w:shd w:val="clear" w:color="auto" w:fill="EFF6FF"/>
          </w:tcPr>
          <w:p>
            <w:r>
              <w:rPr>
                <w:sz w:val="19"/>
              </w:rPr>
              <w:t>latest</w:t>
            </w:r>
          </w:p>
        </w:tc>
        <w:tc>
          <w:tcPr>
            <w:tcW w:type="dxa" w:w="2196"/>
            <w:shd w:val="clear" w:color="auto" w:fill="EFF6FF"/>
          </w:tcPr>
          <w:p>
            <w:r>
              <w:rPr>
                <w:sz w:val="19"/>
              </w:rPr>
              <w:t>Edge deployment</w:t>
            </w:r>
          </w:p>
        </w:tc>
      </w:tr>
      <w:tr>
        <w:tc>
          <w:tcPr>
            <w:tcW w:type="dxa" w:w="2196"/>
            <w:shd w:val="clear" w:color="auto" w:fill="FFFFFF"/>
          </w:tcPr>
          <w:p>
            <w:r>
              <w:rPr>
                <w:sz w:val="19"/>
              </w:rPr>
              <w:t>CI/CD</w:t>
            </w:r>
          </w:p>
        </w:tc>
        <w:tc>
          <w:tcPr>
            <w:tcW w:type="dxa" w:w="2196"/>
            <w:shd w:val="clear" w:color="auto" w:fill="FFFFFF"/>
          </w:tcPr>
          <w:p>
            <w:r>
              <w:rPr>
                <w:sz w:val="19"/>
              </w:rPr>
              <w:t>GitHub</w:t>
            </w:r>
          </w:p>
        </w:tc>
        <w:tc>
          <w:tcPr>
            <w:tcW w:type="dxa" w:w="2196"/>
            <w:shd w:val="clear" w:color="auto" w:fill="FFFFFF"/>
          </w:tcPr>
          <w:p>
            <w:r>
              <w:rPr>
                <w:sz w:val="19"/>
              </w:rPr>
              <w:t>main branch</w:t>
            </w:r>
          </w:p>
        </w:tc>
        <w:tc>
          <w:tcPr>
            <w:tcW w:type="dxa" w:w="2196"/>
            <w:shd w:val="clear" w:color="auto" w:fill="FFFFFF"/>
          </w:tcPr>
          <w:p>
            <w:r>
              <w:rPr>
                <w:sz w:val="19"/>
              </w:rPr>
              <w:t>Control de versiones</w:t>
            </w:r>
          </w:p>
        </w:tc>
      </w:tr>
    </w:tbl>
    <w:p/>
    <w:p>
      <w:pPr>
        <w:pStyle w:val="Heading2"/>
      </w:pPr>
      <w:r>
        <w:rPr>
          <w:b/>
          <w:color w:val="1D4ED8"/>
          <w:sz w:val="28"/>
        </w:rPr>
        <w:t>3.2 Estructura del Proyecto</w:t>
      </w:r>
    </w:p>
    <w:p>
      <w:pPr>
        <w:spacing w:before="80" w:after="80"/>
        <w:ind w:left="567"/>
        <w:shd w:val="clear" w:color="auto" w:fill="F3F4F6"/>
      </w:pPr>
      <w:r>
        <w:rPr>
          <w:rFonts w:ascii="Courier New" w:hAnsi="Courier New"/>
          <w:color w:val="1A1A2E"/>
          <w:sz w:val="18"/>
        </w:rPr>
        <w:t>DataMate-Edu/</w:t>
        <w:br/>
        <w:t>└── datamate_portal/</w:t>
        <w:br/>
        <w:t xml:space="preserve">    ├── src/</w:t>
        <w:br/>
        <w:t xml:space="preserve">    │   ├── app/</w:t>
        <w:br/>
        <w:t xml:space="preserve">    │   │   ├── page.tsx               # Redirect → /sostenedor</w:t>
        <w:br/>
        <w:t xml:space="preserve">    │   │   ├── sostenedor/</w:t>
        <w:br/>
        <w:t xml:space="preserve">    │   │   │   ├── page.tsx           # Perfiles Fiscales (página principal)</w:t>
        <w:br/>
        <w:t xml:space="preserve">    │   │   │   ├── benchmark.tsx      # Comparativa de sostenedores</w:t>
        <w:br/>
        <w:t xml:space="preserve">    │   │   │   ├── simulate.tsx       # Simulador de escenarios</w:t>
        <w:br/>
        <w:t xml:space="preserve">    │   │   │   ├── acreditacion.tsx   # Indicadores de acreditación</w:t>
        <w:br/>
        <w:t xml:space="preserve">    │   │   │   ├── historicos.tsx     # Histórico de indicadores</w:t>
        <w:br/>
        <w:t xml:space="preserve">    │   │   │   ├── proyeccion.tsx     # Proyección futura (OLS)</w:t>
        <w:br/>
        <w:t xml:space="preserve">    │   │   │   └── mineduc.tsx        # Indicadores MINEDUC cruzados</w:t>
        <w:br/>
        <w:t xml:space="preserve">    │   │   ├── intelligence/</w:t>
        <w:br/>
        <w:t xml:space="preserve">    │   │   │   └── page.tsx           # Dashboard de inteligencia del portfolio</w:t>
        <w:br/>
        <w:t xml:space="preserve">    │   │   ├── milo/</w:t>
        <w:br/>
        <w:t xml:space="preserve">    │   │   │   └── page.tsx           # EduBot (chat IA educativo)</w:t>
        <w:br/>
        <w:t xml:space="preserve">    │   │   ├── alertas/</w:t>
        <w:br/>
        <w:t xml:space="preserve">    │   │   │   └── page.tsx           # Sistema de alertas automáticas</w:t>
        <w:br/>
        <w:t xml:space="preserve">    │   │   ├── gna/</w:t>
        <w:br/>
        <w:t xml:space="preserve">    │   │   │   └── page.tsx           # Gastos No Aceptados</w:t>
        <w:br/>
        <w:t xml:space="preserve">    │   │   └── api/</w:t>
        <w:br/>
        <w:t xml:space="preserve">    │   │       ├── pipeline/          # Consulta general de sostenedores</w:t>
        <w:br/>
        <w:t xml:space="preserve">    │   │       ├── sostenedor/</w:t>
        <w:br/>
        <w:t xml:space="preserve">    │   │       │   ├── profile/       # Perfil individual completo</w:t>
        <w:br/>
        <w:t xml:space="preserve">    │   │       │   ├── analyze/       # Análisis IA individual</w:t>
        <w:br/>
        <w:t xml:space="preserve">    │   │       │   ├── benchmark/     # Comparativa con pares</w:t>
        <w:br/>
        <w:t xml:space="preserve">    │   │       │   ├── simulate/      # Simulador de escenarios</w:t>
        <w:br/>
        <w:t xml:space="preserve">    │   │       │   ├── acreditacion/  # Indicadores SIE acreditación</w:t>
        <w:br/>
        <w:t xml:space="preserve">    │   │       │   ├── historicos/    # Historial por períodos</w:t>
        <w:br/>
        <w:t xml:space="preserve">    │   │       │   ├── proyeccion/    # Proyección lineal</w:t>
        <w:br/>
        <w:t xml:space="preserve">    │   │       │   └── mineduc/       # Cruce con datos MINEDUC</w:t>
        <w:br/>
        <w:t xml:space="preserve">    │   │       ├── intelligence/</w:t>
        <w:br/>
        <w:t xml:space="preserve">    │   │       │   ├── stats/         # Estadísticas del portfolio</w:t>
        <w:br/>
        <w:t xml:space="preserve">    │   │       │   ├── risk-flags/    # Alertas de riesgo del portfolio</w:t>
        <w:br/>
        <w:t xml:space="preserve">    │   │       │   ├── deep-analysis/ # Análisis profundo streaming</w:t>
        <w:br/>
        <w:t xml:space="preserve">    │   │       │   ├── ask/           # Chat con datos</w:t>
        <w:br/>
        <w:t xml:space="preserve">    │   │       │   ├── ai-feedback/   # Análisis individual streaming</w:t>
        <w:br/>
        <w:t xml:space="preserve">    │   │       │   └── query/         # Consultas SQL por IA</w:t>
        <w:br/>
        <w:t xml:space="preserve">    │   │       ├── gna/               # Gastos No Aceptados</w:t>
        <w:br/>
        <w:t xml:space="preserve">    │   │       ├── alerts/            # Sistema de alertas</w:t>
        <w:br/>
        <w:t xml:space="preserve">    │   │       ├── milo/chat/         # Chat EduBot</w:t>
        <w:br/>
        <w:t xml:space="preserve">    │   │       └── mineduc/sync/      # Sincronización datos MINEDUC</w:t>
        <w:br/>
        <w:t xml:space="preserve">    │   ├── lib/</w:t>
        <w:br/>
        <w:t xml:space="preserve">    │   │   ├── supabase.ts            # Clientes Supabase</w:t>
        <w:br/>
        <w:t xml:space="preserve">    │   │   ├── desafio-queries.ts     # Queries principales</w:t>
        <w:br/>
        <w:t xml:space="preserve">    │   │   ├── education-store.ts     # Cache del cliente</w:t>
        <w:br/>
        <w:t xml:space="preserve">    │   │   ├── education-docs.ts      # Documentos para IA</w:t>
        <w:br/>
        <w:t xml:space="preserve">    │   │   ├── domain-knowledge.ts    # Base de conocimiento SIE</w:t>
        <w:br/>
        <w:t xml:space="preserve">    │   │   └── mineduc-api.ts         # Cliente MINEDUC</w:t>
        <w:br/>
        <w:t xml:space="preserve">    │   └── components/</w:t>
        <w:br/>
        <w:t xml:space="preserve">    │       └── AppHeader.tsx          # Navegación principal</w:t>
        <w:br/>
        <w:t xml:space="preserve">    ├── supabase/migrations/           # 13 migraciones SQL</w:t>
        <w:br/>
        <w:t xml:space="preserve">    └── scripts/                       # Utilidades y semilla</w:t>
      </w:r>
    </w:p>
    <w:p>
      <w:pPr>
        <w:pStyle w:val="Heading2"/>
      </w:pPr>
      <w:r>
        <w:rPr>
          <w:b/>
          <w:color w:val="1D4ED8"/>
          <w:sz w:val="28"/>
        </w:rPr>
        <w:t>3.3 Clientes Supabase</w:t>
      </w:r>
    </w:p>
    <w:p>
      <w:pPr>
        <w:spacing w:after="120"/>
      </w:pPr>
      <w:r>
        <w:rPr>
          <w:sz w:val="21"/>
        </w:rPr>
        <w:t>Se utilizan dos clientes diferenciados según el esquema de datos:</w:t>
      </w:r>
    </w:p>
    <w:p>
      <w:pPr>
        <w:spacing w:before="80" w:after="80"/>
        <w:ind w:left="567"/>
        <w:shd w:val="clear" w:color="auto" w:fill="F3F4F6"/>
      </w:pPr>
      <w:r>
        <w:rPr>
          <w:rFonts w:ascii="Courier New" w:hAnsi="Courier New"/>
          <w:color w:val="1A1A2E"/>
          <w:sz w:val="18"/>
        </w:rPr>
        <w:t>// src/lib/supabase.ts</w:t>
        <w:br/>
        <w:br/>
        <w:t>// Cliente 'desafio' — Schema fiscal SIE</w:t>
        <w:br/>
        <w:t>// Usa URL del proyecto + service role key</w:t>
        <w:br/>
        <w:t>// Accede a: estado_resultado, remuneraciones, documentos,</w:t>
        <w:br/>
        <w:t>//           mv_sostenedor_profile, mv_sostenedor_yoy</w:t>
        <w:br/>
        <w:t>export function getDesafioClient() { ... }</w:t>
        <w:br/>
        <w:br/>
        <w:t>// Cliente 'public' — Tablas MINEDUC</w:t>
        <w:br/>
        <w:t>// Accede a: mineduc_matricula, mineduc_docentes,</w:t>
        <w:br/>
        <w:t>//           mineduc_sned, mineduc_establecimientos</w:t>
        <w:br/>
        <w:t>export function getSupabaseAdmin() { ... }</w:t>
      </w:r>
    </w:p>
    <w:p>
      <w:r>
        <w:br w:type="page"/>
      </w:r>
    </w:p>
    <w:p>
      <w:pPr>
        <w:pStyle w:val="Heading1"/>
      </w:pPr>
      <w:r>
        <w:rPr>
          <w:b/>
          <w:color w:val="1E40AF"/>
          <w:sz w:val="36"/>
        </w:rPr>
        <w:t>4. Modelo de Datos y Base de Datos</w:t>
      </w:r>
    </w:p>
    <w:p>
      <w:pPr>
        <w:pStyle w:val="Heading2"/>
      </w:pPr>
      <w:r>
        <w:rPr>
          <w:b/>
          <w:color w:val="1D4ED8"/>
          <w:sz w:val="28"/>
        </w:rPr>
        <w:t>4.1 Esquema Desafio (Datos Fiscales SIE)</w:t>
      </w:r>
    </w:p>
    <w:p>
      <w:pPr>
        <w:spacing w:after="120"/>
      </w:pPr>
      <w:r>
        <w:rPr>
          <w:sz w:val="21"/>
        </w:rPr>
        <w:t>Todas las tablas fiscales residen en el esquema 'desafio' de Supabase PostgreSQL.</w:t>
      </w:r>
    </w:p>
    <w:p>
      <w:pPr>
        <w:pStyle w:val="Heading3"/>
      </w:pPr>
      <w:r>
        <w:rPr>
          <w:b/>
          <w:color w:val="37518C"/>
          <w:sz w:val="24"/>
        </w:rPr>
        <w:t>Tablas Fuente</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E40AF"/>
          </w:tcPr>
          <w:p>
            <w:pPr>
              <w:jc w:val="center"/>
            </w:pPr>
            <w:r>
              <w:rPr>
                <w:b/>
                <w:color w:val="FFFFFF"/>
                <w:sz w:val="19"/>
              </w:rPr>
              <w:t>Tabla</w:t>
            </w:r>
          </w:p>
        </w:tc>
        <w:tc>
          <w:tcPr>
            <w:tcW w:type="dxa" w:w="2196"/>
            <w:shd w:val="clear" w:color="auto" w:fill="1E40AF"/>
          </w:tcPr>
          <w:p>
            <w:pPr>
              <w:jc w:val="center"/>
            </w:pPr>
            <w:r>
              <w:rPr>
                <w:b/>
                <w:color w:val="FFFFFF"/>
                <w:sz w:val="19"/>
              </w:rPr>
              <w:t>Descripción</w:t>
            </w:r>
          </w:p>
        </w:tc>
        <w:tc>
          <w:tcPr>
            <w:tcW w:type="dxa" w:w="2196"/>
            <w:shd w:val="clear" w:color="auto" w:fill="1E40AF"/>
          </w:tcPr>
          <w:p>
            <w:pPr>
              <w:jc w:val="center"/>
            </w:pPr>
            <w:r>
              <w:rPr>
                <w:b/>
                <w:color w:val="FFFFFF"/>
                <w:sz w:val="19"/>
              </w:rPr>
              <w:t>Columnas Clave</w:t>
            </w:r>
          </w:p>
        </w:tc>
        <w:tc>
          <w:tcPr>
            <w:tcW w:type="dxa" w:w="2196"/>
            <w:shd w:val="clear" w:color="auto" w:fill="1E40AF"/>
          </w:tcPr>
          <w:p>
            <w:pPr>
              <w:jc w:val="center"/>
            </w:pPr>
            <w:r>
              <w:rPr>
                <w:b/>
                <w:color w:val="FFFFFF"/>
                <w:sz w:val="19"/>
              </w:rPr>
              <w:t>Aprox. Filas</w:t>
            </w:r>
          </w:p>
        </w:tc>
      </w:tr>
      <w:tr>
        <w:tc>
          <w:tcPr>
            <w:tcW w:type="dxa" w:w="2196"/>
            <w:shd w:val="clear" w:color="auto" w:fill="EFF6FF"/>
          </w:tcPr>
          <w:p>
            <w:r>
              <w:rPr>
                <w:sz w:val="19"/>
              </w:rPr>
              <w:t>estado_resultado</w:t>
            </w:r>
          </w:p>
        </w:tc>
        <w:tc>
          <w:tcPr>
            <w:tcW w:type="dxa" w:w="2196"/>
            <w:shd w:val="clear" w:color="auto" w:fill="EFF6FF"/>
          </w:tcPr>
          <w:p>
            <w:r>
              <w:rPr>
                <w:sz w:val="19"/>
              </w:rPr>
              <w:t>Ingresos y gastos declarados por sostenedor</w:t>
            </w:r>
          </w:p>
        </w:tc>
        <w:tc>
          <w:tcPr>
            <w:tcW w:type="dxa" w:w="2196"/>
            <w:shd w:val="clear" w:color="auto" w:fill="EFF6FF"/>
          </w:tcPr>
          <w:p>
            <w:r>
              <w:rPr>
                <w:sz w:val="19"/>
              </w:rPr>
              <w:t>sost_id, periodo, monto_declarado, desc_tipo_cuenta, desc_cuenta</w:t>
            </w:r>
          </w:p>
        </w:tc>
        <w:tc>
          <w:tcPr>
            <w:tcW w:type="dxa" w:w="2196"/>
            <w:shd w:val="clear" w:color="auto" w:fill="EFF6FF"/>
          </w:tcPr>
          <w:p>
            <w:r>
              <w:rPr>
                <w:sz w:val="19"/>
              </w:rPr>
              <w:t>&gt;500.000</w:t>
            </w:r>
          </w:p>
        </w:tc>
      </w:tr>
      <w:tr>
        <w:tc>
          <w:tcPr>
            <w:tcW w:type="dxa" w:w="2196"/>
            <w:shd w:val="clear" w:color="auto" w:fill="FFFFFF"/>
          </w:tcPr>
          <w:p>
            <w:r>
              <w:rPr>
                <w:sz w:val="19"/>
              </w:rPr>
              <w:t>remuneraciones_*</w:t>
            </w:r>
          </w:p>
        </w:tc>
        <w:tc>
          <w:tcPr>
            <w:tcW w:type="dxa" w:w="2196"/>
            <w:shd w:val="clear" w:color="auto" w:fill="FFFFFF"/>
          </w:tcPr>
          <w:p>
            <w:r>
              <w:rPr>
                <w:sz w:val="19"/>
              </w:rPr>
              <w:t>Nóminas por año (2020–2024)</w:t>
            </w:r>
          </w:p>
        </w:tc>
        <w:tc>
          <w:tcPr>
            <w:tcW w:type="dxa" w:w="2196"/>
            <w:shd w:val="clear" w:color="auto" w:fill="FFFFFF"/>
          </w:tcPr>
          <w:p>
            <w:r>
              <w:rPr>
                <w:sz w:val="19"/>
              </w:rPr>
              <w:t>sost_id, periodo, total_haberes, total_liquido, trabajadores</w:t>
            </w:r>
          </w:p>
        </w:tc>
        <w:tc>
          <w:tcPr>
            <w:tcW w:type="dxa" w:w="2196"/>
            <w:shd w:val="clear" w:color="auto" w:fill="FFFFFF"/>
          </w:tcPr>
          <w:p>
            <w:r>
              <w:rPr>
                <w:sz w:val="19"/>
              </w:rPr>
              <w:t>&gt;300.000</w:t>
            </w:r>
          </w:p>
        </w:tc>
      </w:tr>
      <w:tr>
        <w:tc>
          <w:tcPr>
            <w:tcW w:type="dxa" w:w="2196"/>
            <w:shd w:val="clear" w:color="auto" w:fill="EFF6FF"/>
          </w:tcPr>
          <w:p>
            <w:r>
              <w:rPr>
                <w:sz w:val="19"/>
              </w:rPr>
              <w:t>documentos</w:t>
            </w:r>
          </w:p>
        </w:tc>
        <w:tc>
          <w:tcPr>
            <w:tcW w:type="dxa" w:w="2196"/>
            <w:shd w:val="clear" w:color="auto" w:fill="EFF6FF"/>
          </w:tcPr>
          <w:p>
            <w:r>
              <w:rPr>
                <w:sz w:val="19"/>
              </w:rPr>
              <w:t>Documentos contables de respaldo</w:t>
            </w:r>
          </w:p>
        </w:tc>
        <w:tc>
          <w:tcPr>
            <w:tcW w:type="dxa" w:w="2196"/>
            <w:shd w:val="clear" w:color="auto" w:fill="EFF6FF"/>
          </w:tcPr>
          <w:p>
            <w:r>
              <w:rPr>
                <w:sz w:val="19"/>
              </w:rPr>
              <w:t>sost_id, tipo_documento, monto, proveedor</w:t>
            </w:r>
          </w:p>
        </w:tc>
        <w:tc>
          <w:tcPr>
            <w:tcW w:type="dxa" w:w="2196"/>
            <w:shd w:val="clear" w:color="auto" w:fill="EFF6FF"/>
          </w:tcPr>
          <w:p>
            <w:r>
              <w:rPr>
                <w:sz w:val="19"/>
              </w:rPr>
              <w:t>Variable</w:t>
            </w:r>
          </w:p>
        </w:tc>
      </w:tr>
      <w:tr>
        <w:tc>
          <w:tcPr>
            <w:tcW w:type="dxa" w:w="2196"/>
            <w:shd w:val="clear" w:color="auto" w:fill="FFFFFF"/>
          </w:tcPr>
          <w:p>
            <w:r>
              <w:rPr>
                <w:sz w:val="19"/>
              </w:rPr>
              <w:t>identidad</w:t>
            </w:r>
          </w:p>
        </w:tc>
        <w:tc>
          <w:tcPr>
            <w:tcW w:type="dxa" w:w="2196"/>
            <w:shd w:val="clear" w:color="auto" w:fill="FFFFFF"/>
          </w:tcPr>
          <w:p>
            <w:r>
              <w:rPr>
                <w:sz w:val="19"/>
              </w:rPr>
              <w:t>Datos maestros del sostenedor</w:t>
            </w:r>
          </w:p>
        </w:tc>
        <w:tc>
          <w:tcPr>
            <w:tcW w:type="dxa" w:w="2196"/>
            <w:shd w:val="clear" w:color="auto" w:fill="FFFFFF"/>
          </w:tcPr>
          <w:p>
            <w:r>
              <w:rPr>
                <w:sz w:val="19"/>
              </w:rPr>
              <w:t>sost_id, nombre_sost, rut_sost, region, dependencia</w:t>
            </w:r>
          </w:p>
        </w:tc>
        <w:tc>
          <w:tcPr>
            <w:tcW w:type="dxa" w:w="2196"/>
            <w:shd w:val="clear" w:color="auto" w:fill="FFFFFF"/>
          </w:tcPr>
          <w:p>
            <w:r>
              <w:rPr>
                <w:sz w:val="19"/>
              </w:rPr>
              <w:t>24.463</w:t>
            </w:r>
          </w:p>
        </w:tc>
      </w:tr>
    </w:tbl>
    <w:p/>
    <w:p>
      <w:pPr>
        <w:pStyle w:val="Heading3"/>
      </w:pPr>
      <w:r>
        <w:rPr>
          <w:b/>
          <w:color w:val="37518C"/>
          <w:sz w:val="24"/>
        </w:rPr>
        <w:t>Vistas Materializadas (Performance)</w:t>
      </w:r>
    </w:p>
    <w:p>
      <w:pPr>
        <w:spacing w:after="120"/>
      </w:pPr>
      <w:r>
        <w:rPr>
          <w:sz w:val="21"/>
        </w:rPr>
        <w:t>Se construyeron 9 vistas materializadas para pre-agregar datos y garantizar tiempos de respuesta menores a 500ms: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E40AF"/>
          </w:tcPr>
          <w:p>
            <w:pPr>
              <w:jc w:val="center"/>
            </w:pPr>
            <w:r>
              <w:rPr>
                <w:b/>
                <w:color w:val="FFFFFF"/>
                <w:sz w:val="19"/>
              </w:rPr>
              <w:t>Vista</w:t>
            </w:r>
          </w:p>
        </w:tc>
        <w:tc>
          <w:tcPr>
            <w:tcW w:type="dxa" w:w="2928"/>
            <w:shd w:val="clear" w:color="auto" w:fill="1E40AF"/>
          </w:tcPr>
          <w:p>
            <w:pPr>
              <w:jc w:val="center"/>
            </w:pPr>
            <w:r>
              <w:rPr>
                <w:b/>
                <w:color w:val="FFFFFF"/>
                <w:sz w:val="19"/>
              </w:rPr>
              <w:t>Propósito</w:t>
            </w:r>
          </w:p>
        </w:tc>
        <w:tc>
          <w:tcPr>
            <w:tcW w:type="dxa" w:w="2928"/>
            <w:shd w:val="clear" w:color="auto" w:fill="1E40AF"/>
          </w:tcPr>
          <w:p>
            <w:pPr>
              <w:jc w:val="center"/>
            </w:pPr>
            <w:r>
              <w:rPr>
                <w:b/>
                <w:color w:val="FFFFFF"/>
                <w:sz w:val="19"/>
              </w:rPr>
              <w:t>Dependencias</w:t>
            </w:r>
          </w:p>
        </w:tc>
      </w:tr>
      <w:tr>
        <w:tc>
          <w:tcPr>
            <w:tcW w:type="dxa" w:w="2928"/>
            <w:shd w:val="clear" w:color="auto" w:fill="EFF6FF"/>
          </w:tcPr>
          <w:p>
            <w:r>
              <w:rPr>
                <w:sz w:val="19"/>
              </w:rPr>
              <w:t>mv_sostenedor_financials</w:t>
            </w:r>
          </w:p>
        </w:tc>
        <w:tc>
          <w:tcPr>
            <w:tcW w:type="dxa" w:w="2928"/>
            <w:shd w:val="clear" w:color="auto" w:fill="EFF6FF"/>
          </w:tcPr>
          <w:p>
            <w:r>
              <w:rPr>
                <w:sz w:val="19"/>
              </w:rPr>
              <w:t>Totales de ingresos, gastos y subtotales por categoría</w:t>
            </w:r>
          </w:p>
        </w:tc>
        <w:tc>
          <w:tcPr>
            <w:tcW w:type="dxa" w:w="2928"/>
            <w:shd w:val="clear" w:color="auto" w:fill="EFF6FF"/>
          </w:tcPr>
          <w:p>
            <w:r>
              <w:rPr>
                <w:sz w:val="19"/>
              </w:rPr>
              <w:t>estado_resultado</w:t>
            </w:r>
          </w:p>
        </w:tc>
      </w:tr>
      <w:tr>
        <w:tc>
          <w:tcPr>
            <w:tcW w:type="dxa" w:w="2928"/>
            <w:shd w:val="clear" w:color="auto" w:fill="FFFFFF"/>
          </w:tcPr>
          <w:p>
            <w:r>
              <w:rPr>
                <w:sz w:val="19"/>
              </w:rPr>
              <w:t>mv_sostenedor_identity</w:t>
            </w:r>
          </w:p>
        </w:tc>
        <w:tc>
          <w:tcPr>
            <w:tcW w:type="dxa" w:w="2928"/>
            <w:shd w:val="clear" w:color="auto" w:fill="FFFFFF"/>
          </w:tcPr>
          <w:p>
            <w:r>
              <w:rPr>
                <w:sz w:val="19"/>
              </w:rPr>
              <w:t>Nombre y RUT normalizado</w:t>
            </w:r>
          </w:p>
        </w:tc>
        <w:tc>
          <w:tcPr>
            <w:tcW w:type="dxa" w:w="2928"/>
            <w:shd w:val="clear" w:color="auto" w:fill="FFFFFF"/>
          </w:tcPr>
          <w:p>
            <w:r>
              <w:rPr>
                <w:sz w:val="19"/>
              </w:rPr>
              <w:t>identidad</w:t>
            </w:r>
          </w:p>
        </w:tc>
      </w:tr>
      <w:tr>
        <w:tc>
          <w:tcPr>
            <w:tcW w:type="dxa" w:w="2928"/>
            <w:shd w:val="clear" w:color="auto" w:fill="EFF6FF"/>
          </w:tcPr>
          <w:p>
            <w:r>
              <w:rPr>
                <w:sz w:val="19"/>
              </w:rPr>
              <w:t>mv_sostenedor_payroll</w:t>
            </w:r>
          </w:p>
        </w:tc>
        <w:tc>
          <w:tcPr>
            <w:tcW w:type="dxa" w:w="2928"/>
            <w:shd w:val="clear" w:color="auto" w:fill="EFF6FF"/>
          </w:tcPr>
          <w:p>
            <w:r>
              <w:rPr>
                <w:sz w:val="19"/>
              </w:rPr>
              <w:t>Resumen de nómina unificado 2020–2024</w:t>
            </w:r>
          </w:p>
        </w:tc>
        <w:tc>
          <w:tcPr>
            <w:tcW w:type="dxa" w:w="2928"/>
            <w:shd w:val="clear" w:color="auto" w:fill="EFF6FF"/>
          </w:tcPr>
          <w:p>
            <w:r>
              <w:rPr>
                <w:sz w:val="19"/>
              </w:rPr>
              <w:t>remuneraciones_*</w:t>
            </w:r>
          </w:p>
        </w:tc>
      </w:tr>
      <w:tr>
        <w:tc>
          <w:tcPr>
            <w:tcW w:type="dxa" w:w="2928"/>
            <w:shd w:val="clear" w:color="auto" w:fill="FFFFFF"/>
          </w:tcPr>
          <w:p>
            <w:r>
              <w:rPr>
                <w:sz w:val="19"/>
              </w:rPr>
              <w:t>mv_payroll_20XX (×5)</w:t>
            </w:r>
          </w:p>
        </w:tc>
        <w:tc>
          <w:tcPr>
            <w:tcW w:type="dxa" w:w="2928"/>
            <w:shd w:val="clear" w:color="auto" w:fill="FFFFFF"/>
          </w:tcPr>
          <w:p>
            <w:r>
              <w:rPr>
                <w:sz w:val="19"/>
              </w:rPr>
              <w:t>Nóminas individuales por año</w:t>
            </w:r>
          </w:p>
        </w:tc>
        <w:tc>
          <w:tcPr>
            <w:tcW w:type="dxa" w:w="2928"/>
            <w:shd w:val="clear" w:color="auto" w:fill="FFFFFF"/>
          </w:tcPr>
          <w:p>
            <w:r>
              <w:rPr>
                <w:sz w:val="19"/>
              </w:rPr>
              <w:t>remuneraciones_*</w:t>
            </w:r>
          </w:p>
        </w:tc>
      </w:tr>
      <w:tr>
        <w:tc>
          <w:tcPr>
            <w:tcW w:type="dxa" w:w="2928"/>
            <w:shd w:val="clear" w:color="auto" w:fill="EFF6FF"/>
          </w:tcPr>
          <w:p>
            <w:r>
              <w:rPr>
                <w:sz w:val="19"/>
              </w:rPr>
              <w:t>mv_sostenedor_documentos</w:t>
            </w:r>
          </w:p>
        </w:tc>
        <w:tc>
          <w:tcPr>
            <w:tcW w:type="dxa" w:w="2928"/>
            <w:shd w:val="clear" w:color="auto" w:fill="EFF6FF"/>
          </w:tcPr>
          <w:p>
            <w:r>
              <w:rPr>
                <w:sz w:val="19"/>
              </w:rPr>
              <w:t>Resumen de documentos contables</w:t>
            </w:r>
          </w:p>
        </w:tc>
        <w:tc>
          <w:tcPr>
            <w:tcW w:type="dxa" w:w="2928"/>
            <w:shd w:val="clear" w:color="auto" w:fill="EFF6FF"/>
          </w:tcPr>
          <w:p>
            <w:r>
              <w:rPr>
                <w:sz w:val="19"/>
              </w:rPr>
              <w:t>documentos</w:t>
            </w:r>
          </w:p>
        </w:tc>
      </w:tr>
      <w:tr>
        <w:tc>
          <w:tcPr>
            <w:tcW w:type="dxa" w:w="2928"/>
            <w:shd w:val="clear" w:color="auto" w:fill="FFFFFF"/>
          </w:tcPr>
          <w:p>
            <w:r>
              <w:rPr>
                <w:sz w:val="19"/>
              </w:rPr>
              <w:t>mv_sostenedor_hhi</w:t>
            </w:r>
          </w:p>
        </w:tc>
        <w:tc>
          <w:tcPr>
            <w:tcW w:type="dxa" w:w="2928"/>
            <w:shd w:val="clear" w:color="auto" w:fill="FFFFFF"/>
          </w:tcPr>
          <w:p>
            <w:r>
              <w:rPr>
                <w:sz w:val="19"/>
              </w:rPr>
              <w:t>Índice Herfindahl-Hirschman de concentración de ingresos</w:t>
            </w:r>
          </w:p>
        </w:tc>
        <w:tc>
          <w:tcPr>
            <w:tcW w:type="dxa" w:w="2928"/>
            <w:shd w:val="clear" w:color="auto" w:fill="FFFFFF"/>
          </w:tcPr>
          <w:p>
            <w:r>
              <w:rPr>
                <w:sz w:val="19"/>
              </w:rPr>
              <w:t>estado_resultado</w:t>
            </w:r>
          </w:p>
        </w:tc>
      </w:tr>
      <w:tr>
        <w:tc>
          <w:tcPr>
            <w:tcW w:type="dxa" w:w="2928"/>
            <w:shd w:val="clear" w:color="auto" w:fill="EFF6FF"/>
          </w:tcPr>
          <w:p>
            <w:r>
              <w:rPr>
                <w:sz w:val="19"/>
              </w:rPr>
              <w:t>mv_sostenedor_profile</w:t>
            </w:r>
          </w:p>
        </w:tc>
        <w:tc>
          <w:tcPr>
            <w:tcW w:type="dxa" w:w="2928"/>
            <w:shd w:val="clear" w:color="auto" w:fill="EFF6FF"/>
          </w:tcPr>
          <w:p>
            <w:r>
              <w:rPr>
                <w:sz w:val="19"/>
              </w:rPr>
              <w:t>Perfil integrado con todos los indicadores y risk_score</w:t>
            </w:r>
          </w:p>
        </w:tc>
        <w:tc>
          <w:tcPr>
            <w:tcW w:type="dxa" w:w="2928"/>
            <w:shd w:val="clear" w:color="auto" w:fill="EFF6FF"/>
          </w:tcPr>
          <w:p>
            <w:r>
              <w:rPr>
                <w:sz w:val="19"/>
              </w:rPr>
              <w:t>Todas las anteriores</w:t>
            </w:r>
          </w:p>
        </w:tc>
      </w:tr>
      <w:tr>
        <w:tc>
          <w:tcPr>
            <w:tcW w:type="dxa" w:w="2928"/>
            <w:shd w:val="clear" w:color="auto" w:fill="FFFFFF"/>
          </w:tcPr>
          <w:p>
            <w:r>
              <w:rPr>
                <w:sz w:val="19"/>
              </w:rPr>
              <w:t>mv_sostenedor_yoy</w:t>
            </w:r>
          </w:p>
        </w:tc>
        <w:tc>
          <w:tcPr>
            <w:tcW w:type="dxa" w:w="2928"/>
            <w:shd w:val="clear" w:color="auto" w:fill="FFFFFF"/>
          </w:tcPr>
          <w:p>
            <w:r>
              <w:rPr>
                <w:sz w:val="19"/>
              </w:rPr>
              <w:t>Variaciones año a año de indicadores clave</w:t>
            </w:r>
          </w:p>
        </w:tc>
        <w:tc>
          <w:tcPr>
            <w:tcW w:type="dxa" w:w="2928"/>
            <w:shd w:val="clear" w:color="auto" w:fill="FFFFFF"/>
          </w:tcPr>
          <w:p>
            <w:r>
              <w:rPr>
                <w:sz w:val="19"/>
              </w:rPr>
              <w:t>mv_sostenedor_profile</w:t>
            </w:r>
          </w:p>
        </w:tc>
      </w:tr>
    </w:tbl>
    <w:p/>
    <w:p>
      <w:pPr>
        <w:pStyle w:val="Heading2"/>
      </w:pPr>
      <w:r>
        <w:rPr>
          <w:b/>
          <w:color w:val="1D4ED8"/>
          <w:sz w:val="28"/>
        </w:rPr>
        <w:t>4.2 Esquema Public (Datos MINEDUC)</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E40AF"/>
          </w:tcPr>
          <w:p>
            <w:pPr>
              <w:jc w:val="center"/>
            </w:pPr>
            <w:r>
              <w:rPr>
                <w:b/>
                <w:color w:val="FFFFFF"/>
                <w:sz w:val="19"/>
              </w:rPr>
              <w:t>Tabla</w:t>
            </w:r>
          </w:p>
        </w:tc>
        <w:tc>
          <w:tcPr>
            <w:tcW w:type="dxa" w:w="2196"/>
            <w:shd w:val="clear" w:color="auto" w:fill="1E40AF"/>
          </w:tcPr>
          <w:p>
            <w:pPr>
              <w:jc w:val="center"/>
            </w:pPr>
            <w:r>
              <w:rPr>
                <w:b/>
                <w:color w:val="FFFFFF"/>
                <w:sz w:val="19"/>
              </w:rPr>
              <w:t>Fuente MINEDUC</w:t>
            </w:r>
          </w:p>
        </w:tc>
        <w:tc>
          <w:tcPr>
            <w:tcW w:type="dxa" w:w="2196"/>
            <w:shd w:val="clear" w:color="auto" w:fill="1E40AF"/>
          </w:tcPr>
          <w:p>
            <w:pPr>
              <w:jc w:val="center"/>
            </w:pPr>
            <w:r>
              <w:rPr>
                <w:b/>
                <w:color w:val="FFFFFF"/>
                <w:sz w:val="19"/>
              </w:rPr>
              <w:t>PK</w:t>
            </w:r>
          </w:p>
        </w:tc>
        <w:tc>
          <w:tcPr>
            <w:tcW w:type="dxa" w:w="2196"/>
            <w:shd w:val="clear" w:color="auto" w:fill="1E40AF"/>
          </w:tcPr>
          <w:p>
            <w:pPr>
              <w:jc w:val="center"/>
            </w:pPr>
            <w:r>
              <w:rPr>
                <w:b/>
                <w:color w:val="FFFFFF"/>
                <w:sz w:val="19"/>
              </w:rPr>
              <w:t>Filas Cargadas</w:t>
            </w:r>
          </w:p>
        </w:tc>
      </w:tr>
      <w:tr>
        <w:tc>
          <w:tcPr>
            <w:tcW w:type="dxa" w:w="2196"/>
            <w:shd w:val="clear" w:color="auto" w:fill="EFF6FF"/>
          </w:tcPr>
          <w:p>
            <w:r>
              <w:rPr>
                <w:sz w:val="19"/>
              </w:rPr>
              <w:t>mineduc_establecimientos</w:t>
            </w:r>
          </w:p>
        </w:tc>
        <w:tc>
          <w:tcPr>
            <w:tcW w:type="dxa" w:w="2196"/>
            <w:shd w:val="clear" w:color="auto" w:fill="EFF6FF"/>
          </w:tcPr>
          <w:p>
            <w:r>
              <w:rPr>
                <w:sz w:val="19"/>
              </w:rPr>
              <w:t>Portal Datos Abiertos MINEDUC</w:t>
            </w:r>
          </w:p>
        </w:tc>
        <w:tc>
          <w:tcPr>
            <w:tcW w:type="dxa" w:w="2196"/>
            <w:shd w:val="clear" w:color="auto" w:fill="EFF6FF"/>
          </w:tcPr>
          <w:p>
            <w:r>
              <w:rPr>
                <w:sz w:val="19"/>
              </w:rPr>
              <w:t>(agno, rbd)</w:t>
            </w:r>
          </w:p>
        </w:tc>
        <w:tc>
          <w:tcPr>
            <w:tcW w:type="dxa" w:w="2196"/>
            <w:shd w:val="clear" w:color="auto" w:fill="EFF6FF"/>
          </w:tcPr>
          <w:p>
            <w:r>
              <w:rPr>
                <w:sz w:val="19"/>
              </w:rPr>
              <w:t>33.353</w:t>
            </w:r>
          </w:p>
        </w:tc>
      </w:tr>
      <w:tr>
        <w:tc>
          <w:tcPr>
            <w:tcW w:type="dxa" w:w="2196"/>
            <w:shd w:val="clear" w:color="auto" w:fill="FFFFFF"/>
          </w:tcPr>
          <w:p>
            <w:r>
              <w:rPr>
                <w:sz w:val="19"/>
              </w:rPr>
              <w:t>mineduc_matricula</w:t>
            </w:r>
          </w:p>
        </w:tc>
        <w:tc>
          <w:tcPr>
            <w:tcW w:type="dxa" w:w="2196"/>
            <w:shd w:val="clear" w:color="auto" w:fill="FFFFFF"/>
          </w:tcPr>
          <w:p>
            <w:r>
              <w:rPr>
                <w:sz w:val="19"/>
              </w:rPr>
              <w:t>Matrícula por sostenedor agregado</w:t>
            </w:r>
          </w:p>
        </w:tc>
        <w:tc>
          <w:tcPr>
            <w:tcW w:type="dxa" w:w="2196"/>
            <w:shd w:val="clear" w:color="auto" w:fill="FFFFFF"/>
          </w:tcPr>
          <w:p>
            <w:r>
              <w:rPr>
                <w:sz w:val="19"/>
              </w:rPr>
              <w:t>(agno, rut_sost)</w:t>
            </w:r>
          </w:p>
        </w:tc>
        <w:tc>
          <w:tcPr>
            <w:tcW w:type="dxa" w:w="2196"/>
            <w:shd w:val="clear" w:color="auto" w:fill="FFFFFF"/>
          </w:tcPr>
          <w:p>
            <w:r>
              <w:rPr>
                <w:sz w:val="19"/>
              </w:rPr>
              <w:t>13.977</w:t>
            </w:r>
          </w:p>
        </w:tc>
      </w:tr>
      <w:tr>
        <w:tc>
          <w:tcPr>
            <w:tcW w:type="dxa" w:w="2196"/>
            <w:shd w:val="clear" w:color="auto" w:fill="EFF6FF"/>
          </w:tcPr>
          <w:p>
            <w:r>
              <w:rPr>
                <w:sz w:val="19"/>
              </w:rPr>
              <w:t>mineduc_docentes</w:t>
            </w:r>
          </w:p>
        </w:tc>
        <w:tc>
          <w:tcPr>
            <w:tcW w:type="dxa" w:w="2196"/>
            <w:shd w:val="clear" w:color="auto" w:fill="EFF6FF"/>
          </w:tcPr>
          <w:p>
            <w:r>
              <w:rPr>
                <w:sz w:val="19"/>
              </w:rPr>
              <w:t>Dotación docente por sostenedor</w:t>
            </w:r>
          </w:p>
        </w:tc>
        <w:tc>
          <w:tcPr>
            <w:tcW w:type="dxa" w:w="2196"/>
            <w:shd w:val="clear" w:color="auto" w:fill="EFF6FF"/>
          </w:tcPr>
          <w:p>
            <w:r>
              <w:rPr>
                <w:sz w:val="19"/>
              </w:rPr>
              <w:t>(agno, rut_sost)</w:t>
            </w:r>
          </w:p>
        </w:tc>
        <w:tc>
          <w:tcPr>
            <w:tcW w:type="dxa" w:w="2196"/>
            <w:shd w:val="clear" w:color="auto" w:fill="EFF6FF"/>
          </w:tcPr>
          <w:p>
            <w:r>
              <w:rPr>
                <w:sz w:val="19"/>
              </w:rPr>
              <w:t>11.225</w:t>
            </w:r>
          </w:p>
        </w:tc>
      </w:tr>
      <w:tr>
        <w:tc>
          <w:tcPr>
            <w:tcW w:type="dxa" w:w="2196"/>
            <w:shd w:val="clear" w:color="auto" w:fill="FFFFFF"/>
          </w:tcPr>
          <w:p>
            <w:r>
              <w:rPr>
                <w:sz w:val="19"/>
              </w:rPr>
              <w:t>mineduc_sned</w:t>
            </w:r>
          </w:p>
        </w:tc>
        <w:tc>
          <w:tcPr>
            <w:tcW w:type="dxa" w:w="2196"/>
            <w:shd w:val="clear" w:color="auto" w:fill="FFFFFF"/>
          </w:tcPr>
          <w:p>
            <w:r>
              <w:rPr>
                <w:sz w:val="19"/>
              </w:rPr>
              <w:t>Índice SNED por sostenedor y período</w:t>
            </w:r>
          </w:p>
        </w:tc>
        <w:tc>
          <w:tcPr>
            <w:tcW w:type="dxa" w:w="2196"/>
            <w:shd w:val="clear" w:color="auto" w:fill="FFFFFF"/>
          </w:tcPr>
          <w:p>
            <w:r>
              <w:rPr>
                <w:sz w:val="19"/>
              </w:rPr>
              <w:t>(periodo_sned, rut_sost)</w:t>
            </w:r>
          </w:p>
        </w:tc>
        <w:tc>
          <w:tcPr>
            <w:tcW w:type="dxa" w:w="2196"/>
            <w:shd w:val="clear" w:color="auto" w:fill="FFFFFF"/>
          </w:tcPr>
          <w:p>
            <w:r>
              <w:rPr>
                <w:sz w:val="19"/>
              </w:rPr>
              <w:t>9.958</w:t>
            </w:r>
          </w:p>
        </w:tc>
      </w:tr>
    </w:tbl>
    <w:p/>
    <w:p>
      <w:pPr>
        <w:spacing w:after="120"/>
      </w:pPr>
      <w:r>
        <w:rPr>
          <w:sz w:val="21"/>
        </w:rPr>
        <w:t>Clave de join: desafio.sost_id = public.mineduc_*.rut_sost (RUT numérico sin dígito verificador). La cobertura es ~40% ya que MINEDUC publica datos sólo para establecimientos subvencionados registrados en su sistema de reportes.</w:t>
      </w:r>
    </w:p>
    <w:p>
      <w:pPr>
        <w:pStyle w:val="Heading2"/>
      </w:pPr>
      <w:r>
        <w:rPr>
          <w:b/>
          <w:color w:val="1D4ED8"/>
          <w:sz w:val="28"/>
        </w:rPr>
        <w:t>4.3 Índices de Performance</w:t>
      </w:r>
    </w:p>
    <w:p>
      <w:pPr>
        <w:spacing w:after="120"/>
      </w:pPr>
      <w:r>
        <w:rPr>
          <w:sz w:val="21"/>
        </w:rPr>
        <w:t>Se aplicaron 13 migraciones sucesivas para optimizar consultas:</w:t>
      </w:r>
    </w:p>
    <w:p>
      <w:pPr>
        <w:pStyle w:val="ListBullet"/>
        <w:spacing w:after="60"/>
      </w:pPr>
      <w:r>
        <w:rPr>
          <w:sz w:val="21"/>
        </w:rPr>
        <w:t>Índices B-tree en (sost_id, periodo) para todas las tablas fiscales</w:t>
      </w:r>
    </w:p>
    <w:p>
      <w:pPr>
        <w:pStyle w:val="ListBullet"/>
        <w:spacing w:after="60"/>
      </w:pPr>
      <w:r>
        <w:rPr>
          <w:sz w:val="21"/>
        </w:rPr>
        <w:t>Índice de risk_score DESC para ordenamiento rápido del portfolio</w:t>
      </w:r>
    </w:p>
    <w:p>
      <w:pPr>
        <w:pStyle w:val="ListBullet"/>
        <w:spacing w:after="60"/>
      </w:pPr>
      <w:r>
        <w:rPr>
          <w:sz w:val="21"/>
        </w:rPr>
        <w:t>Índices en rut_sost para los joins MINEDUC</w:t>
      </w:r>
    </w:p>
    <w:p>
      <w:pPr>
        <w:pStyle w:val="ListBullet"/>
        <w:spacing w:after="60"/>
      </w:pPr>
      <w:r>
        <w:rPr>
          <w:sz w:val="21"/>
        </w:rPr>
        <w:t>Función readonly execute_sql() para consultas analíticas seguras desde la IA</w:t>
      </w:r>
    </w:p>
    <w:p>
      <w:r>
        <w:br w:type="page"/>
      </w:r>
    </w:p>
    <w:p>
      <w:pPr>
        <w:pStyle w:val="Heading1"/>
      </w:pPr>
      <w:r>
        <w:rPr>
          <w:b/>
          <w:color w:val="1E40AF"/>
          <w:sz w:val="36"/>
        </w:rPr>
        <w:t>5. Ingeniería de Datos — Pipeline MINEDUC</w:t>
      </w:r>
    </w:p>
    <w:p>
      <w:pPr>
        <w:pStyle w:val="Heading2"/>
      </w:pPr>
      <w:r>
        <w:rPr>
          <w:b/>
          <w:color w:val="1D4ED8"/>
          <w:sz w:val="28"/>
        </w:rPr>
        <w:t>5.1 Fuente de Datos</w:t>
      </w:r>
    </w:p>
    <w:p>
      <w:pPr>
        <w:spacing w:after="120"/>
      </w:pPr>
      <w:r>
        <w:rPr>
          <w:sz w:val="21"/>
        </w:rPr>
        <w:t>El MINEDUC de Chile publica datos educativos en el portal datosabiertos.mineduc.cl. Los archivos se distribuyen como archivos .rar con CSVs internos, sin API pública. El portal datos.mineduc.cl (basado en Junar) fue discontinuado.</w:t>
      </w:r>
    </w:p>
    <w:p>
      <w:pPr>
        <w:spacing w:after="120"/>
      </w:pPr>
      <w:r>
        <w:rPr>
          <w:b/>
          <w:sz w:val="21"/>
        </w:rPr>
        <w:t>Archivos descargados (8 archivos .rar, ~500MB total):</w:t>
      </w:r>
    </w:p>
    <w:p>
      <w:pPr>
        <w:pStyle w:val="ListBullet"/>
        <w:spacing w:after="60"/>
      </w:pPr>
      <w:r>
        <w:rPr>
          <w:sz w:val="21"/>
        </w:rPr>
        <w:t>Matrícula por establecimiento — 20230101.rar y 20240101.rar</w:t>
      </w:r>
    </w:p>
    <w:p>
      <w:pPr>
        <w:pStyle w:val="ListBullet"/>
        <w:spacing w:after="60"/>
      </w:pPr>
      <w:r>
        <w:rPr>
          <w:sz w:val="21"/>
        </w:rPr>
        <w:t>Dotación docente — rem_2023.rar y rem_2024.rar (98MB c/u)</w:t>
      </w:r>
    </w:p>
    <w:p>
      <w:pPr>
        <w:pStyle w:val="ListBullet"/>
        <w:spacing w:after="60"/>
      </w:pPr>
      <w:r>
        <w:rPr>
          <w:sz w:val="21"/>
        </w:rPr>
        <w:t>SNED período 2022–2023 y 2024–2025</w:t>
      </w:r>
    </w:p>
    <w:p>
      <w:pPr>
        <w:pStyle w:val="ListBullet"/>
        <w:spacing w:after="60"/>
      </w:pPr>
      <w:r>
        <w:rPr>
          <w:sz w:val="21"/>
        </w:rPr>
        <w:t>Directorio de establecimientos</w:t>
      </w:r>
    </w:p>
    <w:p>
      <w:pPr>
        <w:pStyle w:val="Heading2"/>
      </w:pPr>
      <w:r>
        <w:rPr>
          <w:b/>
          <w:color w:val="1D4ED8"/>
          <w:sz w:val="28"/>
        </w:rPr>
        <w:t>5.2 Proceso de Extracción y Transformación</w:t>
      </w:r>
    </w:p>
    <w:p>
      <w:pPr>
        <w:spacing w:after="120"/>
      </w:pPr>
      <w:r>
        <w:rPr>
          <w:b/>
          <w:sz w:val="21"/>
        </w:rPr>
        <w:t>Herramientas utilizadas:</w:t>
      </w:r>
    </w:p>
    <w:p>
      <w:pPr>
        <w:pStyle w:val="ListBullet"/>
        <w:spacing w:after="60"/>
      </w:pPr>
      <w:r>
        <w:rPr>
          <w:sz w:val="21"/>
        </w:rPr>
        <w:t>unar (macOS) para extracción de archivos .rar: brew install unar</w:t>
      </w:r>
    </w:p>
    <w:p>
      <w:pPr>
        <w:pStyle w:val="ListBullet"/>
        <w:spacing w:after="60"/>
      </w:pPr>
      <w:r>
        <w:rPr>
          <w:sz w:val="21"/>
        </w:rPr>
        <w:t>Python 3.x con csv.DictReader para procesamiento en streaming (archivos &gt;100MB)</w:t>
      </w:r>
    </w:p>
    <w:p>
      <w:pPr>
        <w:pStyle w:val="ListBullet"/>
        <w:spacing w:after="60"/>
      </w:pPr>
      <w:r>
        <w:rPr>
          <w:sz w:val="21"/>
        </w:rPr>
        <w:t>Script custom /mineduc_data/process.py para agregar datos a nivel sostenedor</w:t>
      </w:r>
    </w:p>
    <w:p>
      <w:pPr>
        <w:pStyle w:val="Heading3"/>
      </w:pPr>
      <w:r>
        <w:rPr>
          <w:b/>
          <w:color w:val="37518C"/>
          <w:sz w:val="24"/>
        </w:rPr>
        <w:t>Pasos del Pipeline ETL</w:t>
      </w:r>
    </w:p>
    <w:p>
      <w:pPr>
        <w:spacing w:before="80" w:after="80"/>
        <w:ind w:left="567"/>
        <w:shd w:val="clear" w:color="auto" w:fill="F3F4F6"/>
      </w:pPr>
      <w:r>
        <w:rPr>
          <w:rFonts w:ascii="Courier New" w:hAnsi="Courier New"/>
          <w:color w:val="1A1A2E"/>
          <w:sz w:val="18"/>
        </w:rPr>
        <w:t>PASO 1: Descarga</w:t>
        <w:br/>
        <w:t xml:space="preserve">  • Descargar archivos .rar desde datosabiertos.mineduc.cl</w:t>
        <w:br/>
        <w:t xml:space="preserve">  • Extraer CSVs con: unar archivo.rar -o /output/dir</w:t>
        <w:br/>
        <w:br/>
        <w:t>PASO 2: Agregación a nivel sostenedor</w:t>
        <w:br/>
        <w:t xml:space="preserve">  • Matrícula: GROUP BY rut_sostenedor, agno → SUM(mat_total)</w:t>
        <w:br/>
        <w:t xml:space="preserve">  • Docentes: GROUP BY rut_sostenedor, agno → COUNT(DISTINCT mrun),</w:t>
        <w:br/>
        <w:t xml:space="preserve">              SUM(horas_contrato)</w:t>
        <w:br/>
        <w:t xml:space="preserve">  • SNED: GROUP BY rut_sostenedor, periodo_sned → AVG(indice_sned),</w:t>
        <w:br/>
        <w:t xml:space="preserve">          COUNT(establecimiento), n_seleccionados</w:t>
        <w:br/>
        <w:br/>
        <w:t>PASO 3: Limpieza de datos</w:t>
        <w:br/>
        <w:t xml:space="preserve">  • Normalización de RUT (eliminar DV, convertir a integer)</w:t>
        <w:br/>
        <w:t xml:space="preserve">  • Manejo de valores nulos y tipos de datos</w:t>
        <w:br/>
        <w:t xml:space="preserve">  • Eliminación de duplicados por (rut_sost, agno)</w:t>
        <w:br/>
        <w:br/>
        <w:t>PASO 4: Carga a Supabase</w:t>
        <w:br/>
        <w:t xml:space="preserve">  • CSV output → supabase db push (public schema)</w:t>
        <w:br/>
        <w:t xml:space="preserve">  • Validación de constraints (PK, FK implícita)</w:t>
        <w:br/>
        <w:br/>
        <w:t>PASO 5: Verificación</w:t>
        <w:br/>
        <w:t xml:space="preserve">  • Validar cobertura: SELECT COUNT(DISTINCT rut_sost) FROM mineduc_matricula</w:t>
        <w:br/>
        <w:t xml:space="preserve">  • Cross-check: JOIN con desafio.identidad → ~40% match rate</w:t>
      </w:r>
    </w:p>
    <w:p>
      <w:pPr>
        <w:pStyle w:val="Heading2"/>
      </w:pPr>
      <w:r>
        <w:rPr>
          <w:b/>
          <w:color w:val="1D4ED8"/>
          <w:sz w:val="28"/>
        </w:rPr>
        <w:t>5.3 Desfase Temporal de Períodos</w:t>
      </w:r>
    </w:p>
    <w:p>
      <w:pPr>
        <w:spacing w:after="120"/>
      </w:pPr>
      <w:r>
        <w:rPr>
          <w:sz w:val="21"/>
        </w:rPr>
        <w:t>Los datos fiscales del Desafío SIE actualmente disponibles corresponden al período '2020'. Los datos MINEDUC más recientes son 2023 y 2024. Para resolver esta incompatibilidad temporal, se implementó la siguiente lógica de fallback:</w:t>
      </w:r>
    </w:p>
    <w:p>
      <w:pPr>
        <w:spacing w:before="80" w:after="80"/>
        <w:ind w:left="567"/>
        <w:shd w:val="clear" w:color="auto" w:fill="F3F4F6"/>
      </w:pPr>
      <w:r>
        <w:rPr>
          <w:rFonts w:ascii="Courier New" w:hAnsi="Courier New"/>
          <w:color w:val="1A1A2E"/>
          <w:sz w:val="18"/>
        </w:rPr>
        <w:t>// En /api/sostenedor/mineduc/route.ts:</w:t>
        <w:br/>
        <w:t>// Si no hay datos MINEDUC para el período fiscal exacto,</w:t>
        <w:br/>
        <w:t>// usar el año MINEDUC más reciente disponible.</w:t>
        <w:br/>
        <w:br/>
        <w:t>const mat = matByYear.get(periodoFiscal)</w:t>
        <w:br/>
        <w:t xml:space="preserve">         ?? matByYear.get(latestMinEducYear);</w:t>
        <w:br/>
        <w:br/>
        <w:t>// Se retorna 'mineduc_agno' para indicar al frontend</w:t>
        <w:br/>
        <w:t>// cuál año MINEDUC se utilizó como referencia.</w:t>
      </w:r>
    </w:p>
    <w:p>
      <w:pPr>
        <w:spacing w:after="120"/>
      </w:pPr>
      <w:r>
        <w:rPr>
          <w:i/>
          <w:sz w:val="21"/>
        </w:rPr>
        <w:t>Cuando SIE cargue datos de períodos 2021–2024, el sistema automáticamente comenzará a mostrar matches exactos de período sin cambios de código.</w:t>
      </w:r>
    </w:p>
    <w:p>
      <w:r>
        <w:br w:type="page"/>
      </w:r>
    </w:p>
    <w:p>
      <w:pPr>
        <w:pStyle w:val="Heading1"/>
      </w:pPr>
      <w:r>
        <w:rPr>
          <w:b/>
          <w:color w:val="1E40AF"/>
          <w:sz w:val="36"/>
        </w:rPr>
        <w:t>6. Indicadores SIE Implementados</w:t>
      </w:r>
    </w:p>
    <w:p>
      <w:pPr>
        <w:pStyle w:val="Heading2"/>
      </w:pPr>
      <w:r>
        <w:rPr>
          <w:b/>
          <w:color w:val="1D4ED8"/>
          <w:sz w:val="28"/>
        </w:rPr>
        <w:t>6.1 Tabla de Indicadores</w:t>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shd w:val="clear" w:color="auto" w:fill="1E40AF"/>
          </w:tcPr>
          <w:p>
            <w:pPr>
              <w:jc w:val="center"/>
            </w:pPr>
            <w:r>
              <w:rPr>
                <w:b/>
                <w:color w:val="FFFFFF"/>
                <w:sz w:val="19"/>
              </w:rPr>
              <w:t>#</w:t>
            </w:r>
          </w:p>
        </w:tc>
        <w:tc>
          <w:tcPr>
            <w:tcW w:type="dxa" w:w="1464"/>
            <w:shd w:val="clear" w:color="auto" w:fill="1E40AF"/>
          </w:tcPr>
          <w:p>
            <w:pPr>
              <w:jc w:val="center"/>
            </w:pPr>
            <w:r>
              <w:rPr>
                <w:b/>
                <w:color w:val="FFFFFF"/>
                <w:sz w:val="19"/>
              </w:rPr>
              <w:t>Nombre</w:t>
            </w:r>
          </w:p>
        </w:tc>
        <w:tc>
          <w:tcPr>
            <w:tcW w:type="dxa" w:w="1464"/>
            <w:shd w:val="clear" w:color="auto" w:fill="1E40AF"/>
          </w:tcPr>
          <w:p>
            <w:pPr>
              <w:jc w:val="center"/>
            </w:pPr>
            <w:r>
              <w:rPr>
                <w:b/>
                <w:color w:val="FFFFFF"/>
                <w:sz w:val="19"/>
              </w:rPr>
              <w:t>Fórmula</w:t>
            </w:r>
          </w:p>
        </w:tc>
        <w:tc>
          <w:tcPr>
            <w:tcW w:type="dxa" w:w="1464"/>
            <w:shd w:val="clear" w:color="auto" w:fill="1E40AF"/>
          </w:tcPr>
          <w:p>
            <w:pPr>
              <w:jc w:val="center"/>
            </w:pPr>
            <w:r>
              <w:rPr>
                <w:b/>
                <w:color w:val="FFFFFF"/>
                <w:sz w:val="19"/>
              </w:rPr>
              <w:t>Umbral Alerta</w:t>
            </w:r>
          </w:p>
        </w:tc>
        <w:tc>
          <w:tcPr>
            <w:tcW w:type="dxa" w:w="1464"/>
            <w:shd w:val="clear" w:color="auto" w:fill="1E40AF"/>
          </w:tcPr>
          <w:p>
            <w:pPr>
              <w:jc w:val="center"/>
            </w:pPr>
            <w:r>
              <w:rPr>
                <w:b/>
                <w:color w:val="FFFFFF"/>
                <w:sz w:val="19"/>
              </w:rPr>
              <w:t>Umbral Crítico</w:t>
            </w:r>
          </w:p>
        </w:tc>
        <w:tc>
          <w:tcPr>
            <w:tcW w:type="dxa" w:w="1464"/>
            <w:shd w:val="clear" w:color="auto" w:fill="1E40AF"/>
          </w:tcPr>
          <w:p>
            <w:pPr>
              <w:jc w:val="center"/>
            </w:pPr>
            <w:r>
              <w:rPr>
                <w:b/>
                <w:color w:val="FFFFFF"/>
                <w:sz w:val="19"/>
              </w:rPr>
              <w:t>Fuente</w:t>
            </w:r>
          </w:p>
        </w:tc>
      </w:tr>
      <w:tr>
        <w:tc>
          <w:tcPr>
            <w:tcW w:type="dxa" w:w="1464"/>
            <w:shd w:val="clear" w:color="auto" w:fill="EFF6FF"/>
          </w:tcPr>
          <w:p>
            <w:r>
              <w:rPr>
                <w:sz w:val="19"/>
              </w:rPr>
              <w:t>#1</w:t>
            </w:r>
          </w:p>
        </w:tc>
        <w:tc>
          <w:tcPr>
            <w:tcW w:type="dxa" w:w="1464"/>
            <w:shd w:val="clear" w:color="auto" w:fill="EFF6FF"/>
          </w:tcPr>
          <w:p>
            <w:r>
              <w:rPr>
                <w:sz w:val="19"/>
              </w:rPr>
              <w:t>Costo por Alumno</w:t>
            </w:r>
          </w:p>
        </w:tc>
        <w:tc>
          <w:tcPr>
            <w:tcW w:type="dxa" w:w="1464"/>
            <w:shd w:val="clear" w:color="auto" w:fill="EFF6FF"/>
          </w:tcPr>
          <w:p>
            <w:r>
              <w:rPr>
                <w:sz w:val="19"/>
              </w:rPr>
              <w:t>total_gastos / mat_total</w:t>
            </w:r>
          </w:p>
        </w:tc>
        <w:tc>
          <w:tcPr>
            <w:tcW w:type="dxa" w:w="1464"/>
            <w:shd w:val="clear" w:color="auto" w:fill="EFF6FF"/>
          </w:tcPr>
          <w:p>
            <w:r>
              <w:rPr>
                <w:sz w:val="19"/>
              </w:rPr>
              <w:t>—</w:t>
            </w:r>
          </w:p>
        </w:tc>
        <w:tc>
          <w:tcPr>
            <w:tcW w:type="dxa" w:w="1464"/>
            <w:shd w:val="clear" w:color="auto" w:fill="EFF6FF"/>
          </w:tcPr>
          <w:p>
            <w:r>
              <w:rPr>
                <w:sz w:val="19"/>
              </w:rPr>
              <w:t>&gt;1.5× benchmark ($2.5M)</w:t>
            </w:r>
          </w:p>
        </w:tc>
        <w:tc>
          <w:tcPr>
            <w:tcW w:type="dxa" w:w="1464"/>
            <w:shd w:val="clear" w:color="auto" w:fill="EFF6FF"/>
          </w:tcPr>
          <w:p>
            <w:r>
              <w:rPr>
                <w:sz w:val="19"/>
              </w:rPr>
              <w:t>Fiscal + MINEDUC</w:t>
            </w:r>
          </w:p>
        </w:tc>
      </w:tr>
      <w:tr>
        <w:tc>
          <w:tcPr>
            <w:tcW w:type="dxa" w:w="1464"/>
            <w:shd w:val="clear" w:color="auto" w:fill="FFFFFF"/>
          </w:tcPr>
          <w:p>
            <w:r>
              <w:rPr>
                <w:sz w:val="19"/>
              </w:rPr>
              <w:t>#2</w:t>
            </w:r>
          </w:p>
        </w:tc>
        <w:tc>
          <w:tcPr>
            <w:tcW w:type="dxa" w:w="1464"/>
            <w:shd w:val="clear" w:color="auto" w:fill="FFFFFF"/>
          </w:tcPr>
          <w:p>
            <w:r>
              <w:rPr>
                <w:sz w:val="19"/>
              </w:rPr>
              <w:t>Eficiencia Pedagógica</w:t>
            </w:r>
          </w:p>
        </w:tc>
        <w:tc>
          <w:tcPr>
            <w:tcW w:type="dxa" w:w="1464"/>
            <w:shd w:val="clear" w:color="auto" w:fill="FFFFFF"/>
          </w:tcPr>
          <w:p>
            <w:r>
              <w:rPr>
                <w:sz w:val="19"/>
              </w:rPr>
              <w:t>gasto_pedagogico / total_gastos × 100</w:t>
            </w:r>
          </w:p>
        </w:tc>
        <w:tc>
          <w:tcPr>
            <w:tcW w:type="dxa" w:w="1464"/>
            <w:shd w:val="clear" w:color="auto" w:fill="FFFFFF"/>
          </w:tcPr>
          <w:p>
            <w:r>
              <w:rPr>
                <w:sz w:val="19"/>
              </w:rPr>
              <w:t>&lt;65%</w:t>
            </w:r>
          </w:p>
        </w:tc>
        <w:tc>
          <w:tcPr>
            <w:tcW w:type="dxa" w:w="1464"/>
            <w:shd w:val="clear" w:color="auto" w:fill="FFFFFF"/>
          </w:tcPr>
          <w:p>
            <w:r>
              <w:rPr>
                <w:sz w:val="19"/>
              </w:rPr>
              <w:t>&lt;40%</w:t>
            </w:r>
          </w:p>
        </w:tc>
        <w:tc>
          <w:tcPr>
            <w:tcW w:type="dxa" w:w="1464"/>
            <w:shd w:val="clear" w:color="auto" w:fill="FFFFFF"/>
          </w:tcPr>
          <w:p>
            <w:r>
              <w:rPr>
                <w:sz w:val="19"/>
              </w:rPr>
              <w:t>Fiscal + MINEDUC</w:t>
            </w:r>
          </w:p>
        </w:tc>
      </w:tr>
      <w:tr>
        <w:tc>
          <w:tcPr>
            <w:tcW w:type="dxa" w:w="1464"/>
            <w:shd w:val="clear" w:color="auto" w:fill="EFF6FF"/>
          </w:tcPr>
          <w:p>
            <w:r>
              <w:rPr>
                <w:sz w:val="19"/>
              </w:rPr>
              <w:t>#4</w:t>
            </w:r>
          </w:p>
        </w:tc>
        <w:tc>
          <w:tcPr>
            <w:tcW w:type="dxa" w:w="1464"/>
            <w:shd w:val="clear" w:color="auto" w:fill="EFF6FF"/>
          </w:tcPr>
          <w:p>
            <w:r>
              <w:rPr>
                <w:sz w:val="19"/>
              </w:rPr>
              <w:t>Concentración Administrativa</w:t>
            </w:r>
          </w:p>
        </w:tc>
        <w:tc>
          <w:tcPr>
            <w:tcW w:type="dxa" w:w="1464"/>
            <w:shd w:val="clear" w:color="auto" w:fill="EFF6FF"/>
          </w:tcPr>
          <w:p>
            <w:r>
              <w:rPr>
                <w:sz w:val="19"/>
              </w:rPr>
              <w:t>gasto_admin / total_gastos × 100</w:t>
            </w:r>
          </w:p>
        </w:tc>
        <w:tc>
          <w:tcPr>
            <w:tcW w:type="dxa" w:w="1464"/>
            <w:shd w:val="clear" w:color="auto" w:fill="EFF6FF"/>
          </w:tcPr>
          <w:p>
            <w:r>
              <w:rPr>
                <w:sz w:val="19"/>
              </w:rPr>
              <w:t>&gt;20%</w:t>
            </w:r>
          </w:p>
        </w:tc>
        <w:tc>
          <w:tcPr>
            <w:tcW w:type="dxa" w:w="1464"/>
            <w:shd w:val="clear" w:color="auto" w:fill="EFF6FF"/>
          </w:tcPr>
          <w:p>
            <w:r>
              <w:rPr>
                <w:sz w:val="19"/>
              </w:rPr>
              <w:t>&gt;30%</w:t>
            </w:r>
          </w:p>
        </w:tc>
        <w:tc>
          <w:tcPr>
            <w:tcW w:type="dxa" w:w="1464"/>
            <w:shd w:val="clear" w:color="auto" w:fill="EFF6FF"/>
          </w:tcPr>
          <w:p>
            <w:r>
              <w:rPr>
                <w:sz w:val="19"/>
              </w:rPr>
              <w:t>Fiscal</w:t>
            </w:r>
          </w:p>
        </w:tc>
      </w:tr>
      <w:tr>
        <w:tc>
          <w:tcPr>
            <w:tcW w:type="dxa" w:w="1464"/>
            <w:shd w:val="clear" w:color="auto" w:fill="FFFFFF"/>
          </w:tcPr>
          <w:p>
            <w:r>
              <w:rPr>
                <w:sz w:val="19"/>
              </w:rPr>
              <w:t>#6</w:t>
            </w:r>
          </w:p>
        </w:tc>
        <w:tc>
          <w:tcPr>
            <w:tcW w:type="dxa" w:w="1464"/>
            <w:shd w:val="clear" w:color="auto" w:fill="FFFFFF"/>
          </w:tcPr>
          <w:p>
            <w:r>
              <w:rPr>
                <w:sz w:val="19"/>
              </w:rPr>
              <w:t>Acreditación de Saldos</w:t>
            </w:r>
          </w:p>
        </w:tc>
        <w:tc>
          <w:tcPr>
            <w:tcW w:type="dxa" w:w="1464"/>
            <w:shd w:val="clear" w:color="auto" w:fill="FFFFFF"/>
          </w:tcPr>
          <w:p>
            <w:r>
              <w:rPr>
                <w:sz w:val="19"/>
              </w:rPr>
              <w:t>balance / total_ingresos × 100 (tasa ejecución)</w:t>
            </w:r>
          </w:p>
        </w:tc>
        <w:tc>
          <w:tcPr>
            <w:tcW w:type="dxa" w:w="1464"/>
            <w:shd w:val="clear" w:color="auto" w:fill="FFFFFF"/>
          </w:tcPr>
          <w:p>
            <w:r>
              <w:rPr>
                <w:sz w:val="19"/>
              </w:rPr>
              <w:t>Ejecución &lt;80%</w:t>
            </w:r>
          </w:p>
        </w:tc>
        <w:tc>
          <w:tcPr>
            <w:tcW w:type="dxa" w:w="1464"/>
            <w:shd w:val="clear" w:color="auto" w:fill="FFFFFF"/>
          </w:tcPr>
          <w:p>
            <w:r>
              <w:rPr>
                <w:sz w:val="19"/>
              </w:rPr>
              <w:t>Deficit &gt;5%</w:t>
            </w:r>
          </w:p>
        </w:tc>
        <w:tc>
          <w:tcPr>
            <w:tcW w:type="dxa" w:w="1464"/>
            <w:shd w:val="clear" w:color="auto" w:fill="FFFFFF"/>
          </w:tcPr>
          <w:p>
            <w:r>
              <w:rPr>
                <w:sz w:val="19"/>
              </w:rPr>
              <w:t>Fiscal</w:t>
            </w:r>
          </w:p>
        </w:tc>
      </w:tr>
      <w:tr>
        <w:tc>
          <w:tcPr>
            <w:tcW w:type="dxa" w:w="1464"/>
            <w:shd w:val="clear" w:color="auto" w:fill="EFF6FF"/>
          </w:tcPr>
          <w:p>
            <w:r>
              <w:rPr>
                <w:sz w:val="19"/>
              </w:rPr>
              <w:t>#7</w:t>
            </w:r>
          </w:p>
        </w:tc>
        <w:tc>
          <w:tcPr>
            <w:tcW w:type="dxa" w:w="1464"/>
            <w:shd w:val="clear" w:color="auto" w:fill="EFF6FF"/>
          </w:tcPr>
          <w:p>
            <w:r>
              <w:rPr>
                <w:sz w:val="19"/>
              </w:rPr>
              <w:t>Histórico Indicadores</w:t>
            </w:r>
          </w:p>
        </w:tc>
        <w:tc>
          <w:tcPr>
            <w:tcW w:type="dxa" w:w="1464"/>
            <w:shd w:val="clear" w:color="auto" w:fill="EFF6FF"/>
          </w:tcPr>
          <w:p>
            <w:r>
              <w:rPr>
                <w:sz w:val="19"/>
              </w:rPr>
              <w:t>Evolución temporal IND4, IND9, balance, risk_score</w:t>
            </w:r>
          </w:p>
        </w:tc>
        <w:tc>
          <w:tcPr>
            <w:tcW w:type="dxa" w:w="1464"/>
            <w:shd w:val="clear" w:color="auto" w:fill="EFF6FF"/>
          </w:tcPr>
          <w:p>
            <w:r>
              <w:rPr>
                <w:sz w:val="19"/>
              </w:rPr>
              <w:t>Tendencia negativa</w:t>
            </w:r>
          </w:p>
        </w:tc>
        <w:tc>
          <w:tcPr>
            <w:tcW w:type="dxa" w:w="1464"/>
            <w:shd w:val="clear" w:color="auto" w:fill="EFF6FF"/>
          </w:tcPr>
          <w:p>
            <w:r>
              <w:rPr>
                <w:sz w:val="19"/>
              </w:rPr>
              <w:t>3+ períodos deterioro</w:t>
            </w:r>
          </w:p>
        </w:tc>
        <w:tc>
          <w:tcPr>
            <w:tcW w:type="dxa" w:w="1464"/>
            <w:shd w:val="clear" w:color="auto" w:fill="EFF6FF"/>
          </w:tcPr>
          <w:p>
            <w:r>
              <w:rPr>
                <w:sz w:val="19"/>
              </w:rPr>
              <w:t>Fiscal</w:t>
            </w:r>
          </w:p>
        </w:tc>
      </w:tr>
      <w:tr>
        <w:tc>
          <w:tcPr>
            <w:tcW w:type="dxa" w:w="1464"/>
            <w:shd w:val="clear" w:color="auto" w:fill="FFFFFF"/>
          </w:tcPr>
          <w:p>
            <w:r>
              <w:rPr>
                <w:sz w:val="19"/>
              </w:rPr>
              <w:t>#8</w:t>
            </w:r>
          </w:p>
        </w:tc>
        <w:tc>
          <w:tcPr>
            <w:tcW w:type="dxa" w:w="1464"/>
            <w:shd w:val="clear" w:color="auto" w:fill="FFFFFF"/>
          </w:tcPr>
          <w:p>
            <w:r>
              <w:rPr>
                <w:sz w:val="19"/>
              </w:rPr>
              <w:t>Proyección de Saldos</w:t>
            </w:r>
          </w:p>
        </w:tc>
        <w:tc>
          <w:tcPr>
            <w:tcW w:type="dxa" w:w="1464"/>
            <w:shd w:val="clear" w:color="auto" w:fill="FFFFFF"/>
          </w:tcPr>
          <w:p>
            <w:r>
              <w:rPr>
                <w:sz w:val="19"/>
              </w:rPr>
              <w:t>Regresión lineal OLS sobre balance histórico</w:t>
            </w:r>
          </w:p>
        </w:tc>
        <w:tc>
          <w:tcPr>
            <w:tcW w:type="dxa" w:w="1464"/>
            <w:shd w:val="clear" w:color="auto" w:fill="FFFFFF"/>
          </w:tcPr>
          <w:p>
            <w:r>
              <w:rPr>
                <w:sz w:val="19"/>
              </w:rPr>
              <w:t>Balance proyectado &lt;0</w:t>
            </w:r>
          </w:p>
        </w:tc>
        <w:tc>
          <w:tcPr>
            <w:tcW w:type="dxa" w:w="1464"/>
            <w:shd w:val="clear" w:color="auto" w:fill="FFFFFF"/>
          </w:tcPr>
          <w:p>
            <w:r>
              <w:rPr>
                <w:sz w:val="19"/>
              </w:rPr>
              <w:t>Múltiples alertas proyectadas</w:t>
            </w:r>
          </w:p>
        </w:tc>
        <w:tc>
          <w:tcPr>
            <w:tcW w:type="dxa" w:w="1464"/>
            <w:shd w:val="clear" w:color="auto" w:fill="FFFFFF"/>
          </w:tcPr>
          <w:p>
            <w:r>
              <w:rPr>
                <w:sz w:val="19"/>
              </w:rPr>
              <w:t>Fiscal</w:t>
            </w:r>
          </w:p>
        </w:tc>
      </w:tr>
      <w:tr>
        <w:tc>
          <w:tcPr>
            <w:tcW w:type="dxa" w:w="1464"/>
            <w:shd w:val="clear" w:color="auto" w:fill="EFF6FF"/>
          </w:tcPr>
          <w:p>
            <w:r>
              <w:rPr>
                <w:sz w:val="19"/>
              </w:rPr>
              <w:t>#9</w:t>
            </w:r>
          </w:p>
        </w:tc>
        <w:tc>
          <w:tcPr>
            <w:tcW w:type="dxa" w:w="1464"/>
            <w:shd w:val="clear" w:color="auto" w:fill="EFF6FF"/>
          </w:tcPr>
          <w:p>
            <w:r>
              <w:rPr>
                <w:sz w:val="19"/>
              </w:rPr>
              <w:t>Gasto Remuneracional</w:t>
            </w:r>
          </w:p>
        </w:tc>
        <w:tc>
          <w:tcPr>
            <w:tcW w:type="dxa" w:w="1464"/>
            <w:shd w:val="clear" w:color="auto" w:fill="EFF6FF"/>
          </w:tcPr>
          <w:p>
            <w:r>
              <w:rPr>
                <w:sz w:val="19"/>
              </w:rPr>
              <w:t>total_haberes / total_ingresos × 100</w:t>
            </w:r>
          </w:p>
        </w:tc>
        <w:tc>
          <w:tcPr>
            <w:tcW w:type="dxa" w:w="1464"/>
            <w:shd w:val="clear" w:color="auto" w:fill="EFF6FF"/>
          </w:tcPr>
          <w:p>
            <w:r>
              <w:rPr>
                <w:sz w:val="19"/>
              </w:rPr>
              <w:t>&gt;65%</w:t>
            </w:r>
          </w:p>
        </w:tc>
        <w:tc>
          <w:tcPr>
            <w:tcW w:type="dxa" w:w="1464"/>
            <w:shd w:val="clear" w:color="auto" w:fill="EFF6FF"/>
          </w:tcPr>
          <w:p>
            <w:r>
              <w:rPr>
                <w:sz w:val="19"/>
              </w:rPr>
              <w:t>&gt;85%</w:t>
            </w:r>
          </w:p>
        </w:tc>
        <w:tc>
          <w:tcPr>
            <w:tcW w:type="dxa" w:w="1464"/>
            <w:shd w:val="clear" w:color="auto" w:fill="EFF6FF"/>
          </w:tcPr>
          <w:p>
            <w:r>
              <w:rPr>
                <w:sz w:val="19"/>
              </w:rPr>
              <w:t>Fiscal (nóminas)</w:t>
            </w:r>
          </w:p>
        </w:tc>
      </w:tr>
      <w:tr>
        <w:tc>
          <w:tcPr>
            <w:tcW w:type="dxa" w:w="1464"/>
            <w:shd w:val="clear" w:color="auto" w:fill="FFFFFF"/>
          </w:tcPr>
          <w:p>
            <w:r>
              <w:rPr>
                <w:sz w:val="19"/>
              </w:rPr>
              <w:t>#11</w:t>
            </w:r>
          </w:p>
        </w:tc>
        <w:tc>
          <w:tcPr>
            <w:tcW w:type="dxa" w:w="1464"/>
            <w:shd w:val="clear" w:color="auto" w:fill="FFFFFF"/>
          </w:tcPr>
          <w:p>
            <w:r>
              <w:rPr>
                <w:sz w:val="19"/>
              </w:rPr>
              <w:t>Concentración HHI</w:t>
            </w:r>
          </w:p>
        </w:tc>
        <w:tc>
          <w:tcPr>
            <w:tcW w:type="dxa" w:w="1464"/>
            <w:shd w:val="clear" w:color="auto" w:fill="FFFFFF"/>
          </w:tcPr>
          <w:p>
            <w:r>
              <w:rPr>
                <w:sz w:val="19"/>
              </w:rPr>
              <w:t>Σ(share_subvención²) por sostenedor</w:t>
            </w:r>
          </w:p>
        </w:tc>
        <w:tc>
          <w:tcPr>
            <w:tcW w:type="dxa" w:w="1464"/>
            <w:shd w:val="clear" w:color="auto" w:fill="FFFFFF"/>
          </w:tcPr>
          <w:p>
            <w:r>
              <w:rPr>
                <w:sz w:val="19"/>
              </w:rPr>
              <w:t>&gt;0.25 (moderada)</w:t>
            </w:r>
          </w:p>
        </w:tc>
        <w:tc>
          <w:tcPr>
            <w:tcW w:type="dxa" w:w="1464"/>
            <w:shd w:val="clear" w:color="auto" w:fill="FFFFFF"/>
          </w:tcPr>
          <w:p>
            <w:r>
              <w:rPr>
                <w:sz w:val="19"/>
              </w:rPr>
              <w:t>&gt;0.50 (alta)</w:t>
            </w:r>
          </w:p>
        </w:tc>
        <w:tc>
          <w:tcPr>
            <w:tcW w:type="dxa" w:w="1464"/>
            <w:shd w:val="clear" w:color="auto" w:fill="FFFFFF"/>
          </w:tcPr>
          <w:p>
            <w:r>
              <w:rPr>
                <w:sz w:val="19"/>
              </w:rPr>
              <w:t>Fiscal</w:t>
            </w:r>
          </w:p>
        </w:tc>
      </w:tr>
      <w:tr>
        <w:tc>
          <w:tcPr>
            <w:tcW w:type="dxa" w:w="1464"/>
            <w:shd w:val="clear" w:color="auto" w:fill="EFF6FF"/>
          </w:tcPr>
          <w:p>
            <w:r>
              <w:rPr>
                <w:sz w:val="19"/>
              </w:rPr>
              <w:t>#12</w:t>
            </w:r>
          </w:p>
        </w:tc>
        <w:tc>
          <w:tcPr>
            <w:tcW w:type="dxa" w:w="1464"/>
            <w:shd w:val="clear" w:color="auto" w:fill="EFF6FF"/>
          </w:tcPr>
          <w:p>
            <w:r>
              <w:rPr>
                <w:sz w:val="19"/>
              </w:rPr>
              <w:t>SNED × Riesgo Fiscal</w:t>
            </w:r>
          </w:p>
        </w:tc>
        <w:tc>
          <w:tcPr>
            <w:tcW w:type="dxa" w:w="1464"/>
            <w:shd w:val="clear" w:color="auto" w:fill="EFF6FF"/>
          </w:tcPr>
          <w:p>
            <w:r>
              <w:rPr>
                <w:sz w:val="19"/>
              </w:rPr>
              <w:t>indice_sned vs risk_score</w:t>
            </w:r>
          </w:p>
        </w:tc>
        <w:tc>
          <w:tcPr>
            <w:tcW w:type="dxa" w:w="1464"/>
            <w:shd w:val="clear" w:color="auto" w:fill="EFF6FF"/>
          </w:tcPr>
          <w:p>
            <w:r>
              <w:rPr>
                <w:sz w:val="19"/>
              </w:rPr>
              <w:t>Buena calidad + alto riesgo</w:t>
            </w:r>
          </w:p>
        </w:tc>
        <w:tc>
          <w:tcPr>
            <w:tcW w:type="dxa" w:w="1464"/>
            <w:shd w:val="clear" w:color="auto" w:fill="EFF6FF"/>
          </w:tcPr>
          <w:p>
            <w:r>
              <w:rPr>
                <w:sz w:val="19"/>
              </w:rPr>
              <w:t>ALERTA_CRITICA</w:t>
            </w:r>
          </w:p>
        </w:tc>
        <w:tc>
          <w:tcPr>
            <w:tcW w:type="dxa" w:w="1464"/>
            <w:shd w:val="clear" w:color="auto" w:fill="EFF6FF"/>
          </w:tcPr>
          <w:p>
            <w:r>
              <w:rPr>
                <w:sz w:val="19"/>
              </w:rPr>
              <w:t>MINEDUC + Fiscal</w:t>
            </w:r>
          </w:p>
        </w:tc>
      </w:tr>
      <w:tr>
        <w:tc>
          <w:tcPr>
            <w:tcW w:type="dxa" w:w="1464"/>
            <w:shd w:val="clear" w:color="auto" w:fill="FFFFFF"/>
          </w:tcPr>
          <w:p>
            <w:r>
              <w:rPr>
                <w:sz w:val="19"/>
              </w:rPr>
              <w:t>#13</w:t>
            </w:r>
          </w:p>
        </w:tc>
        <w:tc>
          <w:tcPr>
            <w:tcW w:type="dxa" w:w="1464"/>
            <w:shd w:val="clear" w:color="auto" w:fill="FFFFFF"/>
          </w:tcPr>
          <w:p>
            <w:r>
              <w:rPr>
                <w:sz w:val="19"/>
              </w:rPr>
              <w:t>Eficiencia Dotación Docente</w:t>
            </w:r>
          </w:p>
        </w:tc>
        <w:tc>
          <w:tcPr>
            <w:tcW w:type="dxa" w:w="1464"/>
            <w:shd w:val="clear" w:color="auto" w:fill="FFFFFF"/>
          </w:tcPr>
          <w:p>
            <w:r>
              <w:rPr>
                <w:sz w:val="19"/>
              </w:rPr>
              <w:t>mat_total / n_docentes</w:t>
            </w:r>
          </w:p>
        </w:tc>
        <w:tc>
          <w:tcPr>
            <w:tcW w:type="dxa" w:w="1464"/>
            <w:shd w:val="clear" w:color="auto" w:fill="FFFFFF"/>
          </w:tcPr>
          <w:p>
            <w:r>
              <w:rPr>
                <w:sz w:val="19"/>
              </w:rPr>
              <w:t>&gt;25 alumnos/docente</w:t>
            </w:r>
          </w:p>
        </w:tc>
        <w:tc>
          <w:tcPr>
            <w:tcW w:type="dxa" w:w="1464"/>
            <w:shd w:val="clear" w:color="auto" w:fill="FFFFFF"/>
          </w:tcPr>
          <w:p>
            <w:r>
              <w:rPr>
                <w:sz w:val="19"/>
              </w:rPr>
              <w:t>Sin benchmark fijo</w:t>
            </w:r>
          </w:p>
        </w:tc>
        <w:tc>
          <w:tcPr>
            <w:tcW w:type="dxa" w:w="1464"/>
            <w:shd w:val="clear" w:color="auto" w:fill="FFFFFF"/>
          </w:tcPr>
          <w:p>
            <w:r>
              <w:rPr>
                <w:sz w:val="19"/>
              </w:rPr>
              <w:t>MINEDUC</w:t>
            </w:r>
          </w:p>
        </w:tc>
      </w:tr>
    </w:tbl>
    <w:p/>
    <w:p>
      <w:pPr>
        <w:pStyle w:val="Heading2"/>
      </w:pPr>
      <w:r>
        <w:rPr>
          <w:b/>
          <w:color w:val="1D4ED8"/>
          <w:sz w:val="28"/>
        </w:rPr>
        <w:t>6.2 Indicadores Especiales</w:t>
      </w:r>
    </w:p>
    <w:p>
      <w:pPr>
        <w:pStyle w:val="Heading3"/>
      </w:pPr>
      <w:r>
        <w:rPr>
          <w:b/>
          <w:color w:val="37518C"/>
          <w:sz w:val="24"/>
        </w:rPr>
        <w:t>Indicador #8 — Proyección de Saldos (Regresión Lineal OLS)</w:t>
      </w:r>
    </w:p>
    <w:p>
      <w:pPr>
        <w:spacing w:after="120"/>
      </w:pPr>
      <w:r>
        <w:rPr>
          <w:sz w:val="21"/>
        </w:rPr>
        <w:t>Se implementa regresión lineal de mínimos cuadrados ordinarios (OLS) sobre la serie temporal de balance, ingresos, gastos e indicadores. El horizonte de proyección es configurable (1–4 períodos).</w:t>
      </w:r>
    </w:p>
    <w:p>
      <w:pPr>
        <w:spacing w:before="80" w:after="80"/>
        <w:ind w:left="567"/>
        <w:shd w:val="clear" w:color="auto" w:fill="F3F4F6"/>
      </w:pPr>
      <w:r>
        <w:rPr>
          <w:rFonts w:ascii="Courier New" w:hAnsi="Courier New"/>
          <w:color w:val="1A1A2E"/>
          <w:sz w:val="18"/>
        </w:rPr>
        <w:t>// Salidas del modelo:</w:t>
        <w:br/>
        <w:t>• slope (tendencia anual)</w:t>
        <w:br/>
        <w:t>• intercept</w:t>
        <w:br/>
        <w:t>• residualStd (desviación estándar de residuos)</w:t>
        <w:br/>
        <w:t>• R² (bondad de ajuste)</w:t>
        <w:br/>
        <w:t>• Intervalos de confianza ±1σ para ingresos, gastos y balance</w:t>
      </w:r>
    </w:p>
    <w:p>
      <w:pPr>
        <w:pStyle w:val="Heading3"/>
      </w:pPr>
      <w:r>
        <w:rPr>
          <w:b/>
          <w:color w:val="37518C"/>
          <w:sz w:val="24"/>
        </w:rPr>
        <w:t>Indicador #11 — Índice Herfindahl-Hirschman (HHI)</w:t>
      </w:r>
    </w:p>
    <w:p>
      <w:pPr>
        <w:spacing w:after="120"/>
      </w:pPr>
      <w:r>
        <w:rPr>
          <w:sz w:val="21"/>
        </w:rPr>
        <w:t>Mide la concentración de fuentes de ingreso. Un HHI cercano a 1.0 indica dependencia total de una sola subvención. Se calcula como:</w:t>
      </w:r>
    </w:p>
    <w:p>
      <w:pPr>
        <w:spacing w:before="80" w:after="80"/>
        <w:ind w:left="567"/>
        <w:shd w:val="clear" w:color="auto" w:fill="F3F4F6"/>
      </w:pPr>
      <w:r>
        <w:rPr>
          <w:rFonts w:ascii="Courier New" w:hAnsi="Courier New"/>
          <w:color w:val="1A1A2E"/>
          <w:sz w:val="18"/>
        </w:rPr>
        <w:t>HHI = Σ (monto_subvencion_i / total_ingresos)²  para cada fuente de subvención</w:t>
      </w:r>
    </w:p>
    <w:p>
      <w:r>
        <w:br w:type="page"/>
      </w:r>
    </w:p>
    <w:p>
      <w:pPr>
        <w:pStyle w:val="Heading1"/>
      </w:pPr>
      <w:r>
        <w:rPr>
          <w:b/>
          <w:color w:val="1E40AF"/>
          <w:sz w:val="36"/>
        </w:rPr>
        <w:t>7. Sistema de Puntuación de Riesgo</w:t>
      </w:r>
    </w:p>
    <w:p>
      <w:pPr>
        <w:pStyle w:val="Heading2"/>
      </w:pPr>
      <w:r>
        <w:rPr>
          <w:b/>
          <w:color w:val="1D4ED8"/>
          <w:sz w:val="28"/>
        </w:rPr>
        <w:t>7.1 Metodología</w:t>
      </w:r>
    </w:p>
    <w:p>
      <w:pPr>
        <w:spacing w:after="120"/>
      </w:pPr>
      <w:r>
        <w:rPr>
          <w:sz w:val="21"/>
        </w:rPr>
        <w:t>El risk_score es un puntaje compuesto de 0 a 100 que evalúa la salud financiera de cada sostenedor. Se calcula combinando tres indicadores con pesos diferenciados:</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E40AF"/>
          </w:tcPr>
          <w:p>
            <w:pPr>
              <w:jc w:val="center"/>
            </w:pPr>
            <w:r>
              <w:rPr>
                <w:b/>
                <w:color w:val="FFFFFF"/>
                <w:sz w:val="19"/>
              </w:rPr>
              <w:t>Componente</w:t>
            </w:r>
          </w:p>
        </w:tc>
        <w:tc>
          <w:tcPr>
            <w:tcW w:type="dxa" w:w="2196"/>
            <w:shd w:val="clear" w:color="auto" w:fill="1E40AF"/>
          </w:tcPr>
          <w:p>
            <w:pPr>
              <w:jc w:val="center"/>
            </w:pPr>
            <w:r>
              <w:rPr>
                <w:b/>
                <w:color w:val="FFFFFF"/>
                <w:sz w:val="19"/>
              </w:rPr>
              <w:t>Peso Máx.</w:t>
            </w:r>
          </w:p>
        </w:tc>
        <w:tc>
          <w:tcPr>
            <w:tcW w:type="dxa" w:w="2196"/>
            <w:shd w:val="clear" w:color="auto" w:fill="1E40AF"/>
          </w:tcPr>
          <w:p>
            <w:pPr>
              <w:jc w:val="center"/>
            </w:pPr>
            <w:r>
              <w:rPr>
                <w:b/>
                <w:color w:val="FFFFFF"/>
                <w:sz w:val="19"/>
              </w:rPr>
              <w:t>Umbral ALERTA (pts)</w:t>
            </w:r>
          </w:p>
        </w:tc>
        <w:tc>
          <w:tcPr>
            <w:tcW w:type="dxa" w:w="2196"/>
            <w:shd w:val="clear" w:color="auto" w:fill="1E40AF"/>
          </w:tcPr>
          <w:p>
            <w:pPr>
              <w:jc w:val="center"/>
            </w:pPr>
            <w:r>
              <w:rPr>
                <w:b/>
                <w:color w:val="FFFFFF"/>
                <w:sz w:val="19"/>
              </w:rPr>
              <w:t>Umbral CRÍTICO (pts)</w:t>
            </w:r>
          </w:p>
        </w:tc>
      </w:tr>
      <w:tr>
        <w:tc>
          <w:tcPr>
            <w:tcW w:type="dxa" w:w="2196"/>
            <w:shd w:val="clear" w:color="auto" w:fill="EFF6FF"/>
          </w:tcPr>
          <w:p>
            <w:r>
              <w:rPr>
                <w:sz w:val="19"/>
              </w:rPr>
              <w:t>#4 Concentración Administrativa</w:t>
            </w:r>
          </w:p>
        </w:tc>
        <w:tc>
          <w:tcPr>
            <w:tcW w:type="dxa" w:w="2196"/>
            <w:shd w:val="clear" w:color="auto" w:fill="EFF6FF"/>
          </w:tcPr>
          <w:p>
            <w:r>
              <w:rPr>
                <w:sz w:val="19"/>
              </w:rPr>
              <w:t>40 pts</w:t>
            </w:r>
          </w:p>
        </w:tc>
        <w:tc>
          <w:tcPr>
            <w:tcW w:type="dxa" w:w="2196"/>
            <w:shd w:val="clear" w:color="auto" w:fill="EFF6FF"/>
          </w:tcPr>
          <w:p>
            <w:r>
              <w:rPr>
                <w:sz w:val="19"/>
              </w:rPr>
              <w:t>&gt;20%  → 20 pts</w:t>
            </w:r>
          </w:p>
        </w:tc>
        <w:tc>
          <w:tcPr>
            <w:tcW w:type="dxa" w:w="2196"/>
            <w:shd w:val="clear" w:color="auto" w:fill="EFF6FF"/>
          </w:tcPr>
          <w:p>
            <w:r>
              <w:rPr>
                <w:sz w:val="19"/>
              </w:rPr>
              <w:t>&gt;30%  → 40 pts</w:t>
            </w:r>
          </w:p>
        </w:tc>
      </w:tr>
      <w:tr>
        <w:tc>
          <w:tcPr>
            <w:tcW w:type="dxa" w:w="2196"/>
            <w:shd w:val="clear" w:color="auto" w:fill="FFFFFF"/>
          </w:tcPr>
          <w:p>
            <w:r>
              <w:rPr>
                <w:sz w:val="19"/>
              </w:rPr>
              <w:t>#9 Gasto Remuneracional</w:t>
            </w:r>
          </w:p>
        </w:tc>
        <w:tc>
          <w:tcPr>
            <w:tcW w:type="dxa" w:w="2196"/>
            <w:shd w:val="clear" w:color="auto" w:fill="FFFFFF"/>
          </w:tcPr>
          <w:p>
            <w:r>
              <w:rPr>
                <w:sz w:val="19"/>
              </w:rPr>
              <w:t>35 pts</w:t>
            </w:r>
          </w:p>
        </w:tc>
        <w:tc>
          <w:tcPr>
            <w:tcW w:type="dxa" w:w="2196"/>
            <w:shd w:val="clear" w:color="auto" w:fill="FFFFFF"/>
          </w:tcPr>
          <w:p>
            <w:r>
              <w:rPr>
                <w:sz w:val="19"/>
              </w:rPr>
              <w:t>&gt;65%  → 17 pts</w:t>
            </w:r>
          </w:p>
        </w:tc>
        <w:tc>
          <w:tcPr>
            <w:tcW w:type="dxa" w:w="2196"/>
            <w:shd w:val="clear" w:color="auto" w:fill="FFFFFF"/>
          </w:tcPr>
          <w:p>
            <w:r>
              <w:rPr>
                <w:sz w:val="19"/>
              </w:rPr>
              <w:t>&gt;85%  → 35 pts</w:t>
            </w:r>
          </w:p>
        </w:tc>
      </w:tr>
      <w:tr>
        <w:tc>
          <w:tcPr>
            <w:tcW w:type="dxa" w:w="2196"/>
            <w:shd w:val="clear" w:color="auto" w:fill="EFF6FF"/>
          </w:tcPr>
          <w:p>
            <w:r>
              <w:rPr>
                <w:sz w:val="19"/>
              </w:rPr>
              <w:t>Balance sobre Ingresos</w:t>
            </w:r>
          </w:p>
        </w:tc>
        <w:tc>
          <w:tcPr>
            <w:tcW w:type="dxa" w:w="2196"/>
            <w:shd w:val="clear" w:color="auto" w:fill="EFF6FF"/>
          </w:tcPr>
          <w:p>
            <w:r>
              <w:rPr>
                <w:sz w:val="19"/>
              </w:rPr>
              <w:t>25 pts</w:t>
            </w:r>
          </w:p>
        </w:tc>
        <w:tc>
          <w:tcPr>
            <w:tcW w:type="dxa" w:w="2196"/>
            <w:shd w:val="clear" w:color="auto" w:fill="EFF6FF"/>
          </w:tcPr>
          <w:p>
            <w:r>
              <w:rPr>
                <w:sz w:val="19"/>
              </w:rPr>
              <w:t>&lt;5% margen → 12 pts</w:t>
            </w:r>
          </w:p>
        </w:tc>
        <w:tc>
          <w:tcPr>
            <w:tcW w:type="dxa" w:w="2196"/>
            <w:shd w:val="clear" w:color="auto" w:fill="EFF6FF"/>
          </w:tcPr>
          <w:p>
            <w:r>
              <w:rPr>
                <w:sz w:val="19"/>
              </w:rPr>
              <w:t>&lt;-5% (deficit) → 25 pts</w:t>
            </w:r>
          </w:p>
        </w:tc>
      </w:tr>
    </w:tbl>
    <w:p/>
    <w:p>
      <w:pPr>
        <w:pStyle w:val="Heading2"/>
      </w:pPr>
      <w:r>
        <w:rPr>
          <w:b/>
          <w:color w:val="1D4ED8"/>
          <w:sz w:val="28"/>
        </w:rPr>
        <w:t>7.2 Clasificación por Nivel</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E40AF"/>
          </w:tcPr>
          <w:p>
            <w:pPr>
              <w:jc w:val="center"/>
            </w:pPr>
            <w:r>
              <w:rPr>
                <w:b/>
                <w:color w:val="FFFFFF"/>
                <w:sz w:val="19"/>
              </w:rPr>
              <w:t>Nivel</w:t>
            </w:r>
          </w:p>
        </w:tc>
        <w:tc>
          <w:tcPr>
            <w:tcW w:type="dxa" w:w="2928"/>
            <w:shd w:val="clear" w:color="auto" w:fill="1E40AF"/>
          </w:tcPr>
          <w:p>
            <w:pPr>
              <w:jc w:val="center"/>
            </w:pPr>
            <w:r>
              <w:rPr>
                <w:b/>
                <w:color w:val="FFFFFF"/>
                <w:sz w:val="19"/>
              </w:rPr>
              <w:t>Score</w:t>
            </w:r>
          </w:p>
        </w:tc>
        <w:tc>
          <w:tcPr>
            <w:tcW w:type="dxa" w:w="2928"/>
            <w:shd w:val="clear" w:color="auto" w:fill="1E40AF"/>
          </w:tcPr>
          <w:p>
            <w:pPr>
              <w:jc w:val="center"/>
            </w:pPr>
            <w:r>
              <w:rPr>
                <w:b/>
                <w:color w:val="FFFFFF"/>
                <w:sz w:val="19"/>
              </w:rPr>
              <w:t>Acción Recomendada</w:t>
            </w:r>
          </w:p>
        </w:tc>
      </w:tr>
      <w:tr>
        <w:tc>
          <w:tcPr>
            <w:tcW w:type="dxa" w:w="2928"/>
            <w:shd w:val="clear" w:color="auto" w:fill="EFF6FF"/>
          </w:tcPr>
          <w:p>
            <w:r>
              <w:rPr>
                <w:sz w:val="19"/>
              </w:rPr>
              <w:t>CRÍTICO (rojo)</w:t>
            </w:r>
          </w:p>
        </w:tc>
        <w:tc>
          <w:tcPr>
            <w:tcW w:type="dxa" w:w="2928"/>
            <w:shd w:val="clear" w:color="auto" w:fill="EFF6FF"/>
          </w:tcPr>
          <w:p>
            <w:r>
              <w:rPr>
                <w:sz w:val="19"/>
              </w:rPr>
              <w:t>45 – 100</w:t>
            </w:r>
          </w:p>
        </w:tc>
        <w:tc>
          <w:tcPr>
            <w:tcW w:type="dxa" w:w="2928"/>
            <w:shd w:val="clear" w:color="auto" w:fill="EFF6FF"/>
          </w:tcPr>
          <w:p>
            <w:r>
              <w:rPr>
                <w:sz w:val="19"/>
              </w:rPr>
              <w:t>Supervisión inmediata, revisión contable, alerta SIE</w:t>
            </w:r>
          </w:p>
        </w:tc>
      </w:tr>
      <w:tr>
        <w:tc>
          <w:tcPr>
            <w:tcW w:type="dxa" w:w="2928"/>
            <w:shd w:val="clear" w:color="auto" w:fill="FFFFFF"/>
          </w:tcPr>
          <w:p>
            <w:r>
              <w:rPr>
                <w:sz w:val="19"/>
              </w:rPr>
              <w:t>ALERTA (ámbar)</w:t>
            </w:r>
          </w:p>
        </w:tc>
        <w:tc>
          <w:tcPr>
            <w:tcW w:type="dxa" w:w="2928"/>
            <w:shd w:val="clear" w:color="auto" w:fill="FFFFFF"/>
          </w:tcPr>
          <w:p>
            <w:r>
              <w:rPr>
                <w:sz w:val="19"/>
              </w:rPr>
              <w:t>15 – 44</w:t>
            </w:r>
          </w:p>
        </w:tc>
        <w:tc>
          <w:tcPr>
            <w:tcW w:type="dxa" w:w="2928"/>
            <w:shd w:val="clear" w:color="auto" w:fill="FFFFFF"/>
          </w:tcPr>
          <w:p>
            <w:r>
              <w:rPr>
                <w:sz w:val="19"/>
              </w:rPr>
              <w:t>Monitoreo reforzado, solicitud de documentación adicional</w:t>
            </w:r>
          </w:p>
        </w:tc>
      </w:tr>
      <w:tr>
        <w:tc>
          <w:tcPr>
            <w:tcW w:type="dxa" w:w="2928"/>
            <w:shd w:val="clear" w:color="auto" w:fill="EFF6FF"/>
          </w:tcPr>
          <w:p>
            <w:r>
              <w:rPr>
                <w:sz w:val="19"/>
              </w:rPr>
              <w:t>OK (verde)</w:t>
            </w:r>
          </w:p>
        </w:tc>
        <w:tc>
          <w:tcPr>
            <w:tcW w:type="dxa" w:w="2928"/>
            <w:shd w:val="clear" w:color="auto" w:fill="EFF6FF"/>
          </w:tcPr>
          <w:p>
            <w:r>
              <w:rPr>
                <w:sz w:val="19"/>
              </w:rPr>
              <w:t>0 – 14</w:t>
            </w:r>
          </w:p>
        </w:tc>
        <w:tc>
          <w:tcPr>
            <w:tcW w:type="dxa" w:w="2928"/>
            <w:shd w:val="clear" w:color="auto" w:fill="EFF6FF"/>
          </w:tcPr>
          <w:p>
            <w:r>
              <w:rPr>
                <w:sz w:val="19"/>
              </w:rPr>
              <w:t>Seguimiento normal, revisión periódica anual</w:t>
            </w:r>
          </w:p>
        </w:tc>
      </w:tr>
    </w:tbl>
    <w:p/>
    <w:p>
      <w:pPr>
        <w:pStyle w:val="Heading2"/>
      </w:pPr>
      <w:r>
        <w:rPr>
          <w:b/>
          <w:color w:val="1D4ED8"/>
          <w:sz w:val="28"/>
        </w:rPr>
        <w:t>7.3 Lógica de Implementación</w:t>
      </w:r>
    </w:p>
    <w:p>
      <w:pPr>
        <w:spacing w:after="120"/>
      </w:pPr>
      <w:r>
        <w:rPr>
          <w:sz w:val="21"/>
        </w:rPr>
        <w:t>El score se calcula en dos lugares del sistema:</w:t>
      </w:r>
    </w:p>
    <w:p>
      <w:pPr>
        <w:spacing w:before="80" w:after="80"/>
        <w:ind w:left="567"/>
        <w:shd w:val="clear" w:color="auto" w:fill="F3F4F6"/>
      </w:pPr>
      <w:r>
        <w:rPr>
          <w:rFonts w:ascii="Courier New" w:hAnsi="Courier New"/>
          <w:color w:val="1A1A2E"/>
          <w:sz w:val="18"/>
        </w:rPr>
        <w:t>1. Supabase (mv_sostenedor_profile)</w:t>
        <w:br/>
        <w:t xml:space="preserve">   • Calculado en SQL al crear/refrescar la vista materializada</w:t>
        <w:br/>
        <w:t xml:space="preserve">   • Persiste en columnas risk_score y risk_level</w:t>
        <w:br/>
        <w:t xml:space="preserve">   • Migración: 20260402000000_conservative_risk_thresholds.sql</w:t>
        <w:br/>
        <w:br/>
        <w:t>2. desafio-queries.ts (getRiskFlags)</w:t>
        <w:br/>
        <w:t xml:space="preserve">   • Calculado en runtime para la página de Inteligencia</w:t>
        <w:br/>
        <w:t xml:space="preserve">   • Permite filtrado por región/dependencia/período</w:t>
        <w:br/>
        <w:t xml:space="preserve">   • Incluye lista detallada de flags por indicador</w:t>
      </w:r>
    </w:p>
    <w:p>
      <w:r>
        <w:br w:type="page"/>
      </w:r>
    </w:p>
    <w:p>
      <w:pPr>
        <w:pStyle w:val="Heading1"/>
      </w:pPr>
      <w:r>
        <w:rPr>
          <w:b/>
          <w:color w:val="1E40AF"/>
          <w:sz w:val="36"/>
        </w:rPr>
        <w:t>8. APIs y Endpoints</w:t>
      </w:r>
    </w:p>
    <w:p>
      <w:pPr>
        <w:pStyle w:val="Heading2"/>
      </w:pPr>
      <w:r>
        <w:rPr>
          <w:b/>
          <w:color w:val="1D4ED8"/>
          <w:sz w:val="28"/>
        </w:rPr>
        <w:t>8.1 Endpoints Principales</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E40AF"/>
          </w:tcPr>
          <w:p>
            <w:pPr>
              <w:jc w:val="center"/>
            </w:pPr>
            <w:r>
              <w:rPr>
                <w:b/>
                <w:color w:val="FFFFFF"/>
                <w:sz w:val="19"/>
              </w:rPr>
              <w:t>Método</w:t>
            </w:r>
          </w:p>
        </w:tc>
        <w:tc>
          <w:tcPr>
            <w:tcW w:type="dxa" w:w="2196"/>
            <w:shd w:val="clear" w:color="auto" w:fill="1E40AF"/>
          </w:tcPr>
          <w:p>
            <w:pPr>
              <w:jc w:val="center"/>
            </w:pPr>
            <w:r>
              <w:rPr>
                <w:b/>
                <w:color w:val="FFFFFF"/>
                <w:sz w:val="19"/>
              </w:rPr>
              <w:t>Ruta</w:t>
            </w:r>
          </w:p>
        </w:tc>
        <w:tc>
          <w:tcPr>
            <w:tcW w:type="dxa" w:w="2196"/>
            <w:shd w:val="clear" w:color="auto" w:fill="1E40AF"/>
          </w:tcPr>
          <w:p>
            <w:pPr>
              <w:jc w:val="center"/>
            </w:pPr>
            <w:r>
              <w:rPr>
                <w:b/>
                <w:color w:val="FFFFFF"/>
                <w:sz w:val="19"/>
              </w:rPr>
              <w:t>Descripción</w:t>
            </w:r>
          </w:p>
        </w:tc>
        <w:tc>
          <w:tcPr>
            <w:tcW w:type="dxa" w:w="2196"/>
            <w:shd w:val="clear" w:color="auto" w:fill="1E40AF"/>
          </w:tcPr>
          <w:p>
            <w:pPr>
              <w:jc w:val="center"/>
            </w:pPr>
            <w:r>
              <w:rPr>
                <w:b/>
                <w:color w:val="FFFFFF"/>
                <w:sz w:val="19"/>
              </w:rPr>
              <w:t>Parámetros</w:t>
            </w:r>
          </w:p>
        </w:tc>
      </w:tr>
      <w:tr>
        <w:tc>
          <w:tcPr>
            <w:tcW w:type="dxa" w:w="2196"/>
            <w:shd w:val="clear" w:color="auto" w:fill="EFF6FF"/>
          </w:tcPr>
          <w:p>
            <w:r>
              <w:rPr>
                <w:sz w:val="19"/>
              </w:rPr>
              <w:t>GET</w:t>
            </w:r>
          </w:p>
        </w:tc>
        <w:tc>
          <w:tcPr>
            <w:tcW w:type="dxa" w:w="2196"/>
            <w:shd w:val="clear" w:color="auto" w:fill="EFF6FF"/>
          </w:tcPr>
          <w:p>
            <w:r>
              <w:rPr>
                <w:sz w:val="19"/>
              </w:rPr>
              <w:t>/api/pipeline</w:t>
            </w:r>
          </w:p>
        </w:tc>
        <w:tc>
          <w:tcPr>
            <w:tcW w:type="dxa" w:w="2196"/>
            <w:shd w:val="clear" w:color="auto" w:fill="EFF6FF"/>
          </w:tcPr>
          <w:p>
            <w:r>
              <w:rPr>
                <w:sz w:val="19"/>
              </w:rPr>
              <w:t>Lista paginada de sostenedores con perfil fiscal</w:t>
            </w:r>
          </w:p>
        </w:tc>
        <w:tc>
          <w:tcPr>
            <w:tcW w:type="dxa" w:w="2196"/>
            <w:shd w:val="clear" w:color="auto" w:fill="EFF6FF"/>
          </w:tcPr>
          <w:p>
            <w:r>
              <w:rPr>
                <w:sz w:val="19"/>
              </w:rPr>
              <w:t>page, limit, search, region, dependencia, risk_level, sort</w:t>
            </w:r>
          </w:p>
        </w:tc>
      </w:tr>
      <w:tr>
        <w:tc>
          <w:tcPr>
            <w:tcW w:type="dxa" w:w="2196"/>
            <w:shd w:val="clear" w:color="auto" w:fill="FFFFFF"/>
          </w:tcPr>
          <w:p>
            <w:r>
              <w:rPr>
                <w:sz w:val="19"/>
              </w:rPr>
              <w:t>GET</w:t>
            </w:r>
          </w:p>
        </w:tc>
        <w:tc>
          <w:tcPr>
            <w:tcW w:type="dxa" w:w="2196"/>
            <w:shd w:val="clear" w:color="auto" w:fill="FFFFFF"/>
          </w:tcPr>
          <w:p>
            <w:r>
              <w:rPr>
                <w:sz w:val="19"/>
              </w:rPr>
              <w:t>/api/pipeline/stats</w:t>
            </w:r>
          </w:p>
        </w:tc>
        <w:tc>
          <w:tcPr>
            <w:tcW w:type="dxa" w:w="2196"/>
            <w:shd w:val="clear" w:color="auto" w:fill="FFFFFF"/>
          </w:tcPr>
          <w:p>
            <w:r>
              <w:rPr>
                <w:sz w:val="19"/>
              </w:rPr>
              <w:t>Estadísticas globales del pipeline (total rows, sync age)</w:t>
            </w:r>
          </w:p>
        </w:tc>
        <w:tc>
          <w:tcPr>
            <w:tcW w:type="dxa" w:w="2196"/>
            <w:shd w:val="clear" w:color="auto" w:fill="FFFFFF"/>
          </w:tcPr>
          <w:p>
            <w:r>
              <w:rPr>
                <w:sz w:val="19"/>
              </w:rPr>
              <w:t>—</w:t>
            </w:r>
          </w:p>
        </w:tc>
      </w:tr>
      <w:tr>
        <w:tc>
          <w:tcPr>
            <w:tcW w:type="dxa" w:w="2196"/>
            <w:shd w:val="clear" w:color="auto" w:fill="EFF6FF"/>
          </w:tcPr>
          <w:p>
            <w:r>
              <w:rPr>
                <w:sz w:val="19"/>
              </w:rPr>
              <w:t>GET</w:t>
            </w:r>
          </w:p>
        </w:tc>
        <w:tc>
          <w:tcPr>
            <w:tcW w:type="dxa" w:w="2196"/>
            <w:shd w:val="clear" w:color="auto" w:fill="EFF6FF"/>
          </w:tcPr>
          <w:p>
            <w:r>
              <w:rPr>
                <w:sz w:val="19"/>
              </w:rPr>
              <w:t>/api/sostenedor/profile</w:t>
            </w:r>
          </w:p>
        </w:tc>
        <w:tc>
          <w:tcPr>
            <w:tcW w:type="dxa" w:w="2196"/>
            <w:shd w:val="clear" w:color="auto" w:fill="EFF6FF"/>
          </w:tcPr>
          <w:p>
            <w:r>
              <w:rPr>
                <w:sz w:val="19"/>
              </w:rPr>
              <w:t>Perfil completo de un sostenedor</w:t>
            </w:r>
          </w:p>
        </w:tc>
        <w:tc>
          <w:tcPr>
            <w:tcW w:type="dxa" w:w="2196"/>
            <w:shd w:val="clear" w:color="auto" w:fill="EFF6FF"/>
          </w:tcPr>
          <w:p>
            <w:r>
              <w:rPr>
                <w:sz w:val="19"/>
              </w:rPr>
              <w:t>sost_id</w:t>
            </w:r>
          </w:p>
        </w:tc>
      </w:tr>
      <w:tr>
        <w:tc>
          <w:tcPr>
            <w:tcW w:type="dxa" w:w="2196"/>
            <w:shd w:val="clear" w:color="auto" w:fill="FFFFFF"/>
          </w:tcPr>
          <w:p>
            <w:r>
              <w:rPr>
                <w:sz w:val="19"/>
              </w:rPr>
              <w:t>GET</w:t>
            </w:r>
          </w:p>
        </w:tc>
        <w:tc>
          <w:tcPr>
            <w:tcW w:type="dxa" w:w="2196"/>
            <w:shd w:val="clear" w:color="auto" w:fill="FFFFFF"/>
          </w:tcPr>
          <w:p>
            <w:r>
              <w:rPr>
                <w:sz w:val="19"/>
              </w:rPr>
              <w:t>/api/sostenedor/analyze</w:t>
            </w:r>
          </w:p>
        </w:tc>
        <w:tc>
          <w:tcPr>
            <w:tcW w:type="dxa" w:w="2196"/>
            <w:shd w:val="clear" w:color="auto" w:fill="FFFFFF"/>
          </w:tcPr>
          <w:p>
            <w:r>
              <w:rPr>
                <w:sz w:val="19"/>
              </w:rPr>
              <w:t>Análisis IA streaming del sostenedor</w:t>
            </w:r>
          </w:p>
        </w:tc>
        <w:tc>
          <w:tcPr>
            <w:tcW w:type="dxa" w:w="2196"/>
            <w:shd w:val="clear" w:color="auto" w:fill="FFFFFF"/>
          </w:tcPr>
          <w:p>
            <w:r>
              <w:rPr>
                <w:sz w:val="19"/>
              </w:rPr>
              <w:t>sost_id</w:t>
            </w:r>
          </w:p>
        </w:tc>
      </w:tr>
      <w:tr>
        <w:tc>
          <w:tcPr>
            <w:tcW w:type="dxa" w:w="2196"/>
            <w:shd w:val="clear" w:color="auto" w:fill="EFF6FF"/>
          </w:tcPr>
          <w:p>
            <w:r>
              <w:rPr>
                <w:sz w:val="19"/>
              </w:rPr>
              <w:t>GET</w:t>
            </w:r>
          </w:p>
        </w:tc>
        <w:tc>
          <w:tcPr>
            <w:tcW w:type="dxa" w:w="2196"/>
            <w:shd w:val="clear" w:color="auto" w:fill="EFF6FF"/>
          </w:tcPr>
          <w:p>
            <w:r>
              <w:rPr>
                <w:sz w:val="19"/>
              </w:rPr>
              <w:t>/api/sostenedor/benchmark</w:t>
            </w:r>
          </w:p>
        </w:tc>
        <w:tc>
          <w:tcPr>
            <w:tcW w:type="dxa" w:w="2196"/>
            <w:shd w:val="clear" w:color="auto" w:fill="EFF6FF"/>
          </w:tcPr>
          <w:p>
            <w:r>
              <w:rPr>
                <w:sz w:val="19"/>
              </w:rPr>
              <w:t>Comparativa con pares de región/dependencia</w:t>
            </w:r>
          </w:p>
        </w:tc>
        <w:tc>
          <w:tcPr>
            <w:tcW w:type="dxa" w:w="2196"/>
            <w:shd w:val="clear" w:color="auto" w:fill="EFF6FF"/>
          </w:tcPr>
          <w:p>
            <w:r>
              <w:rPr>
                <w:sz w:val="19"/>
              </w:rPr>
              <w:t>sost_id</w:t>
            </w:r>
          </w:p>
        </w:tc>
      </w:tr>
      <w:tr>
        <w:tc>
          <w:tcPr>
            <w:tcW w:type="dxa" w:w="2196"/>
            <w:shd w:val="clear" w:color="auto" w:fill="FFFFFF"/>
          </w:tcPr>
          <w:p>
            <w:r>
              <w:rPr>
                <w:sz w:val="19"/>
              </w:rPr>
              <w:t>GET</w:t>
            </w:r>
          </w:p>
        </w:tc>
        <w:tc>
          <w:tcPr>
            <w:tcW w:type="dxa" w:w="2196"/>
            <w:shd w:val="clear" w:color="auto" w:fill="FFFFFF"/>
          </w:tcPr>
          <w:p>
            <w:r>
              <w:rPr>
                <w:sz w:val="19"/>
              </w:rPr>
              <w:t>/api/sostenedor/simulate</w:t>
            </w:r>
          </w:p>
        </w:tc>
        <w:tc>
          <w:tcPr>
            <w:tcW w:type="dxa" w:w="2196"/>
            <w:shd w:val="clear" w:color="auto" w:fill="FFFFFF"/>
          </w:tcPr>
          <w:p>
            <w:r>
              <w:rPr>
                <w:sz w:val="19"/>
              </w:rPr>
              <w:t>Simulador de escenarios financieros</w:t>
            </w:r>
          </w:p>
        </w:tc>
        <w:tc>
          <w:tcPr>
            <w:tcW w:type="dxa" w:w="2196"/>
            <w:shd w:val="clear" w:color="auto" w:fill="FFFFFF"/>
          </w:tcPr>
          <w:p>
            <w:r>
              <w:rPr>
                <w:sz w:val="19"/>
              </w:rPr>
              <w:t>sost_id, admin_delta, payroll_delta</w:t>
            </w:r>
          </w:p>
        </w:tc>
      </w:tr>
      <w:tr>
        <w:tc>
          <w:tcPr>
            <w:tcW w:type="dxa" w:w="2196"/>
            <w:shd w:val="clear" w:color="auto" w:fill="EFF6FF"/>
          </w:tcPr>
          <w:p>
            <w:r>
              <w:rPr>
                <w:sz w:val="19"/>
              </w:rPr>
              <w:t>GET</w:t>
            </w:r>
          </w:p>
        </w:tc>
        <w:tc>
          <w:tcPr>
            <w:tcW w:type="dxa" w:w="2196"/>
            <w:shd w:val="clear" w:color="auto" w:fill="EFF6FF"/>
          </w:tcPr>
          <w:p>
            <w:r>
              <w:rPr>
                <w:sz w:val="19"/>
              </w:rPr>
              <w:t>/api/sostenedor/acreditacion</w:t>
            </w:r>
          </w:p>
        </w:tc>
        <w:tc>
          <w:tcPr>
            <w:tcW w:type="dxa" w:w="2196"/>
            <w:shd w:val="clear" w:color="auto" w:fill="EFF6FF"/>
          </w:tcPr>
          <w:p>
            <w:r>
              <w:rPr>
                <w:sz w:val="19"/>
              </w:rPr>
              <w:t>Indicadores de acreditación SIE</w:t>
            </w:r>
          </w:p>
        </w:tc>
        <w:tc>
          <w:tcPr>
            <w:tcW w:type="dxa" w:w="2196"/>
            <w:shd w:val="clear" w:color="auto" w:fill="EFF6FF"/>
          </w:tcPr>
          <w:p>
            <w:r>
              <w:rPr>
                <w:sz w:val="19"/>
              </w:rPr>
              <w:t>sost_id</w:t>
            </w:r>
          </w:p>
        </w:tc>
      </w:tr>
      <w:tr>
        <w:tc>
          <w:tcPr>
            <w:tcW w:type="dxa" w:w="2196"/>
            <w:shd w:val="clear" w:color="auto" w:fill="FFFFFF"/>
          </w:tcPr>
          <w:p>
            <w:r>
              <w:rPr>
                <w:sz w:val="19"/>
              </w:rPr>
              <w:t>GET</w:t>
            </w:r>
          </w:p>
        </w:tc>
        <w:tc>
          <w:tcPr>
            <w:tcW w:type="dxa" w:w="2196"/>
            <w:shd w:val="clear" w:color="auto" w:fill="FFFFFF"/>
          </w:tcPr>
          <w:p>
            <w:r>
              <w:rPr>
                <w:sz w:val="19"/>
              </w:rPr>
              <w:t>/api/sostenedor/historicos</w:t>
            </w:r>
          </w:p>
        </w:tc>
        <w:tc>
          <w:tcPr>
            <w:tcW w:type="dxa" w:w="2196"/>
            <w:shd w:val="clear" w:color="auto" w:fill="FFFFFF"/>
          </w:tcPr>
          <w:p>
            <w:r>
              <w:rPr>
                <w:sz w:val="19"/>
              </w:rPr>
              <w:t>Histórico multiperíodo de indicadores</w:t>
            </w:r>
          </w:p>
        </w:tc>
        <w:tc>
          <w:tcPr>
            <w:tcW w:type="dxa" w:w="2196"/>
            <w:shd w:val="clear" w:color="auto" w:fill="FFFFFF"/>
          </w:tcPr>
          <w:p>
            <w:r>
              <w:rPr>
                <w:sz w:val="19"/>
              </w:rPr>
              <w:t>sost_id</w:t>
            </w:r>
          </w:p>
        </w:tc>
      </w:tr>
      <w:tr>
        <w:tc>
          <w:tcPr>
            <w:tcW w:type="dxa" w:w="2196"/>
            <w:shd w:val="clear" w:color="auto" w:fill="EFF6FF"/>
          </w:tcPr>
          <w:p>
            <w:r>
              <w:rPr>
                <w:sz w:val="19"/>
              </w:rPr>
              <w:t>GET</w:t>
            </w:r>
          </w:p>
        </w:tc>
        <w:tc>
          <w:tcPr>
            <w:tcW w:type="dxa" w:w="2196"/>
            <w:shd w:val="clear" w:color="auto" w:fill="EFF6FF"/>
          </w:tcPr>
          <w:p>
            <w:r>
              <w:rPr>
                <w:sz w:val="19"/>
              </w:rPr>
              <w:t>/api/sostenedor/proyeccion</w:t>
            </w:r>
          </w:p>
        </w:tc>
        <w:tc>
          <w:tcPr>
            <w:tcW w:type="dxa" w:w="2196"/>
            <w:shd w:val="clear" w:color="auto" w:fill="EFF6FF"/>
          </w:tcPr>
          <w:p>
            <w:r>
              <w:rPr>
                <w:sz w:val="19"/>
              </w:rPr>
              <w:t>Proyección OLS de balance futuro</w:t>
            </w:r>
          </w:p>
        </w:tc>
        <w:tc>
          <w:tcPr>
            <w:tcW w:type="dxa" w:w="2196"/>
            <w:shd w:val="clear" w:color="auto" w:fill="EFF6FF"/>
          </w:tcPr>
          <w:p>
            <w:r>
              <w:rPr>
                <w:sz w:val="19"/>
              </w:rPr>
              <w:t>sost_id, horizonte</w:t>
            </w:r>
          </w:p>
        </w:tc>
      </w:tr>
      <w:tr>
        <w:tc>
          <w:tcPr>
            <w:tcW w:type="dxa" w:w="2196"/>
            <w:shd w:val="clear" w:color="auto" w:fill="FFFFFF"/>
          </w:tcPr>
          <w:p>
            <w:r>
              <w:rPr>
                <w:sz w:val="19"/>
              </w:rPr>
              <w:t>GET</w:t>
            </w:r>
          </w:p>
        </w:tc>
        <w:tc>
          <w:tcPr>
            <w:tcW w:type="dxa" w:w="2196"/>
            <w:shd w:val="clear" w:color="auto" w:fill="FFFFFF"/>
          </w:tcPr>
          <w:p>
            <w:r>
              <w:rPr>
                <w:sz w:val="19"/>
              </w:rPr>
              <w:t>/api/sostenedor/mineduc</w:t>
            </w:r>
          </w:p>
        </w:tc>
        <w:tc>
          <w:tcPr>
            <w:tcW w:type="dxa" w:w="2196"/>
            <w:shd w:val="clear" w:color="auto" w:fill="FFFFFF"/>
          </w:tcPr>
          <w:p>
            <w:r>
              <w:rPr>
                <w:sz w:val="19"/>
              </w:rPr>
              <w:t>Indicadores MINEDUC cruzados (#1,#2,#12,#13)</w:t>
            </w:r>
          </w:p>
        </w:tc>
        <w:tc>
          <w:tcPr>
            <w:tcW w:type="dxa" w:w="2196"/>
            <w:shd w:val="clear" w:color="auto" w:fill="FFFFFF"/>
          </w:tcPr>
          <w:p>
            <w:r>
              <w:rPr>
                <w:sz w:val="19"/>
              </w:rPr>
              <w:t>sost_id</w:t>
            </w:r>
          </w:p>
        </w:tc>
      </w:tr>
      <w:tr>
        <w:tc>
          <w:tcPr>
            <w:tcW w:type="dxa" w:w="2196"/>
            <w:shd w:val="clear" w:color="auto" w:fill="EFF6FF"/>
          </w:tcPr>
          <w:p>
            <w:r>
              <w:rPr>
                <w:sz w:val="19"/>
              </w:rPr>
              <w:t>GET</w:t>
            </w:r>
          </w:p>
        </w:tc>
        <w:tc>
          <w:tcPr>
            <w:tcW w:type="dxa" w:w="2196"/>
            <w:shd w:val="clear" w:color="auto" w:fill="EFF6FF"/>
          </w:tcPr>
          <w:p>
            <w:r>
              <w:rPr>
                <w:sz w:val="19"/>
              </w:rPr>
              <w:t>/api/intelligence/stats</w:t>
            </w:r>
          </w:p>
        </w:tc>
        <w:tc>
          <w:tcPr>
            <w:tcW w:type="dxa" w:w="2196"/>
            <w:shd w:val="clear" w:color="auto" w:fill="EFF6FF"/>
          </w:tcPr>
          <w:p>
            <w:r>
              <w:rPr>
                <w:sz w:val="19"/>
              </w:rPr>
              <w:t>Estadísticas del portfolio con filtros</w:t>
            </w:r>
          </w:p>
        </w:tc>
        <w:tc>
          <w:tcPr>
            <w:tcW w:type="dxa" w:w="2196"/>
            <w:shd w:val="clear" w:color="auto" w:fill="EFF6FF"/>
          </w:tcPr>
          <w:p>
            <w:r>
              <w:rPr>
                <w:sz w:val="19"/>
              </w:rPr>
              <w:t>region, dependencia, periodo, subvencion</w:t>
            </w:r>
          </w:p>
        </w:tc>
      </w:tr>
      <w:tr>
        <w:tc>
          <w:tcPr>
            <w:tcW w:type="dxa" w:w="2196"/>
            <w:shd w:val="clear" w:color="auto" w:fill="FFFFFF"/>
          </w:tcPr>
          <w:p>
            <w:r>
              <w:rPr>
                <w:sz w:val="19"/>
              </w:rPr>
              <w:t>GET</w:t>
            </w:r>
          </w:p>
        </w:tc>
        <w:tc>
          <w:tcPr>
            <w:tcW w:type="dxa" w:w="2196"/>
            <w:shd w:val="clear" w:color="auto" w:fill="FFFFFF"/>
          </w:tcPr>
          <w:p>
            <w:r>
              <w:rPr>
                <w:sz w:val="19"/>
              </w:rPr>
              <w:t>/api/intelligence/risk-flags</w:t>
            </w:r>
          </w:p>
        </w:tc>
        <w:tc>
          <w:tcPr>
            <w:tcW w:type="dxa" w:w="2196"/>
            <w:shd w:val="clear" w:color="auto" w:fill="FFFFFF"/>
          </w:tcPr>
          <w:p>
            <w:r>
              <w:rPr>
                <w:sz w:val="19"/>
              </w:rPr>
              <w:t>Sostenedores flaggeados con alertas de riesgo</w:t>
            </w:r>
          </w:p>
        </w:tc>
        <w:tc>
          <w:tcPr>
            <w:tcW w:type="dxa" w:w="2196"/>
            <w:shd w:val="clear" w:color="auto" w:fill="FFFFFF"/>
          </w:tcPr>
          <w:p>
            <w:r>
              <w:rPr>
                <w:sz w:val="19"/>
              </w:rPr>
              <w:t>region, dependencia, periodo</w:t>
            </w:r>
          </w:p>
        </w:tc>
      </w:tr>
      <w:tr>
        <w:tc>
          <w:tcPr>
            <w:tcW w:type="dxa" w:w="2196"/>
            <w:shd w:val="clear" w:color="auto" w:fill="EFF6FF"/>
          </w:tcPr>
          <w:p>
            <w:r>
              <w:rPr>
                <w:sz w:val="19"/>
              </w:rPr>
              <w:t>POST</w:t>
            </w:r>
          </w:p>
        </w:tc>
        <w:tc>
          <w:tcPr>
            <w:tcW w:type="dxa" w:w="2196"/>
            <w:shd w:val="clear" w:color="auto" w:fill="EFF6FF"/>
          </w:tcPr>
          <w:p>
            <w:r>
              <w:rPr>
                <w:sz w:val="19"/>
              </w:rPr>
              <w:t>/api/intelligence/deep-analysis</w:t>
            </w:r>
          </w:p>
        </w:tc>
        <w:tc>
          <w:tcPr>
            <w:tcW w:type="dxa" w:w="2196"/>
            <w:shd w:val="clear" w:color="auto" w:fill="EFF6FF"/>
          </w:tcPr>
          <w:p>
            <w:r>
              <w:rPr>
                <w:sz w:val="19"/>
              </w:rPr>
              <w:t>Análisis estratégico streaming (IA)</w:t>
            </w:r>
          </w:p>
        </w:tc>
        <w:tc>
          <w:tcPr>
            <w:tcW w:type="dxa" w:w="2196"/>
            <w:shd w:val="clear" w:color="auto" w:fill="EFF6FF"/>
          </w:tcPr>
          <w:p>
            <w:r>
              <w:rPr>
                <w:sz w:val="19"/>
              </w:rPr>
              <w:t>stats, focus</w:t>
            </w:r>
          </w:p>
        </w:tc>
      </w:tr>
      <w:tr>
        <w:tc>
          <w:tcPr>
            <w:tcW w:type="dxa" w:w="2196"/>
            <w:shd w:val="clear" w:color="auto" w:fill="FFFFFF"/>
          </w:tcPr>
          <w:p>
            <w:r>
              <w:rPr>
                <w:sz w:val="19"/>
              </w:rPr>
              <w:t>POST</w:t>
            </w:r>
          </w:p>
        </w:tc>
        <w:tc>
          <w:tcPr>
            <w:tcW w:type="dxa" w:w="2196"/>
            <w:shd w:val="clear" w:color="auto" w:fill="FFFFFF"/>
          </w:tcPr>
          <w:p>
            <w:r>
              <w:rPr>
                <w:sz w:val="19"/>
              </w:rPr>
              <w:t>/api/intelligence/ask</w:t>
            </w:r>
          </w:p>
        </w:tc>
        <w:tc>
          <w:tcPr>
            <w:tcW w:type="dxa" w:w="2196"/>
            <w:shd w:val="clear" w:color="auto" w:fill="FFFFFF"/>
          </w:tcPr>
          <w:p>
            <w:r>
              <w:rPr>
                <w:sz w:val="19"/>
              </w:rPr>
              <w:t>Chat con datos del portfolio (IA + SQL)</w:t>
            </w:r>
          </w:p>
        </w:tc>
        <w:tc>
          <w:tcPr>
            <w:tcW w:type="dxa" w:w="2196"/>
            <w:shd w:val="clear" w:color="auto" w:fill="FFFFFF"/>
          </w:tcPr>
          <w:p>
            <w:r>
              <w:rPr>
                <w:sz w:val="19"/>
              </w:rPr>
              <w:t>question, filters</w:t>
            </w:r>
          </w:p>
        </w:tc>
      </w:tr>
      <w:tr>
        <w:tc>
          <w:tcPr>
            <w:tcW w:type="dxa" w:w="2196"/>
            <w:shd w:val="clear" w:color="auto" w:fill="EFF6FF"/>
          </w:tcPr>
          <w:p>
            <w:r>
              <w:rPr>
                <w:sz w:val="19"/>
              </w:rPr>
              <w:t>POST</w:t>
            </w:r>
          </w:p>
        </w:tc>
        <w:tc>
          <w:tcPr>
            <w:tcW w:type="dxa" w:w="2196"/>
            <w:shd w:val="clear" w:color="auto" w:fill="EFF6FF"/>
          </w:tcPr>
          <w:p>
            <w:r>
              <w:rPr>
                <w:sz w:val="19"/>
              </w:rPr>
              <w:t>/api/intelligence/ai-feedback</w:t>
            </w:r>
          </w:p>
        </w:tc>
        <w:tc>
          <w:tcPr>
            <w:tcW w:type="dxa" w:w="2196"/>
            <w:shd w:val="clear" w:color="auto" w:fill="EFF6FF"/>
          </w:tcPr>
          <w:p>
            <w:r>
              <w:rPr>
                <w:sz w:val="19"/>
              </w:rPr>
              <w:t>Análisis individual streaming (IA)</w:t>
            </w:r>
          </w:p>
        </w:tc>
        <w:tc>
          <w:tcPr>
            <w:tcW w:type="dxa" w:w="2196"/>
            <w:shd w:val="clear" w:color="auto" w:fill="EFF6FF"/>
          </w:tcPr>
          <w:p>
            <w:r>
              <w:rPr>
                <w:sz w:val="19"/>
              </w:rPr>
              <w:t>sostId, sostData</w:t>
            </w:r>
          </w:p>
        </w:tc>
      </w:tr>
      <w:tr>
        <w:tc>
          <w:tcPr>
            <w:tcW w:type="dxa" w:w="2196"/>
            <w:shd w:val="clear" w:color="auto" w:fill="FFFFFF"/>
          </w:tcPr>
          <w:p>
            <w:r>
              <w:rPr>
                <w:sz w:val="19"/>
              </w:rPr>
              <w:t>GET</w:t>
            </w:r>
          </w:p>
        </w:tc>
        <w:tc>
          <w:tcPr>
            <w:tcW w:type="dxa" w:w="2196"/>
            <w:shd w:val="clear" w:color="auto" w:fill="FFFFFF"/>
          </w:tcPr>
          <w:p>
            <w:r>
              <w:rPr>
                <w:sz w:val="19"/>
              </w:rPr>
              <w:t>/api/gna</w:t>
            </w:r>
          </w:p>
        </w:tc>
        <w:tc>
          <w:tcPr>
            <w:tcW w:type="dxa" w:w="2196"/>
            <w:shd w:val="clear" w:color="auto" w:fill="FFFFFF"/>
          </w:tcPr>
          <w:p>
            <w:r>
              <w:rPr>
                <w:sz w:val="19"/>
              </w:rPr>
              <w:t>Gastos No Aceptados del portfolio</w:t>
            </w:r>
          </w:p>
        </w:tc>
        <w:tc>
          <w:tcPr>
            <w:tcW w:type="dxa" w:w="2196"/>
            <w:shd w:val="clear" w:color="auto" w:fill="FFFFFF"/>
          </w:tcPr>
          <w:p>
            <w:r>
              <w:rPr>
                <w:sz w:val="19"/>
              </w:rPr>
              <w:t>sost_id, periodo, group_by</w:t>
            </w:r>
          </w:p>
        </w:tc>
      </w:tr>
      <w:tr>
        <w:tc>
          <w:tcPr>
            <w:tcW w:type="dxa" w:w="2196"/>
            <w:shd w:val="clear" w:color="auto" w:fill="EFF6FF"/>
          </w:tcPr>
          <w:p>
            <w:r>
              <w:rPr>
                <w:sz w:val="19"/>
              </w:rPr>
              <w:t>GET</w:t>
            </w:r>
          </w:p>
        </w:tc>
        <w:tc>
          <w:tcPr>
            <w:tcW w:type="dxa" w:w="2196"/>
            <w:shd w:val="clear" w:color="auto" w:fill="EFF6FF"/>
          </w:tcPr>
          <w:p>
            <w:r>
              <w:rPr>
                <w:sz w:val="19"/>
              </w:rPr>
              <w:t>/api/alerts</w:t>
            </w:r>
          </w:p>
        </w:tc>
        <w:tc>
          <w:tcPr>
            <w:tcW w:type="dxa" w:w="2196"/>
            <w:shd w:val="clear" w:color="auto" w:fill="EFF6FF"/>
          </w:tcPr>
          <w:p>
            <w:r>
              <w:rPr>
                <w:sz w:val="19"/>
              </w:rPr>
              <w:t>Sistema de alertas automáticas</w:t>
            </w:r>
          </w:p>
        </w:tc>
        <w:tc>
          <w:tcPr>
            <w:tcW w:type="dxa" w:w="2196"/>
            <w:shd w:val="clear" w:color="auto" w:fill="EFF6FF"/>
          </w:tcPr>
          <w:p>
            <w:r>
              <w:rPr>
                <w:sz w:val="19"/>
              </w:rPr>
              <w:t>sost_id, tipo</w:t>
            </w:r>
          </w:p>
        </w:tc>
      </w:tr>
      <w:tr>
        <w:tc>
          <w:tcPr>
            <w:tcW w:type="dxa" w:w="2196"/>
            <w:shd w:val="clear" w:color="auto" w:fill="FFFFFF"/>
          </w:tcPr>
          <w:p>
            <w:r>
              <w:rPr>
                <w:sz w:val="19"/>
              </w:rPr>
              <w:t>POST</w:t>
            </w:r>
          </w:p>
        </w:tc>
        <w:tc>
          <w:tcPr>
            <w:tcW w:type="dxa" w:w="2196"/>
            <w:shd w:val="clear" w:color="auto" w:fill="FFFFFF"/>
          </w:tcPr>
          <w:p>
            <w:r>
              <w:rPr>
                <w:sz w:val="19"/>
              </w:rPr>
              <w:t>/api/milo/chat</w:t>
            </w:r>
          </w:p>
        </w:tc>
        <w:tc>
          <w:tcPr>
            <w:tcW w:type="dxa" w:w="2196"/>
            <w:shd w:val="clear" w:color="auto" w:fill="FFFFFF"/>
          </w:tcPr>
          <w:p>
            <w:r>
              <w:rPr>
                <w:sz w:val="19"/>
              </w:rPr>
              <w:t>Chat EduBot con base de conocimiento</w:t>
            </w:r>
          </w:p>
        </w:tc>
        <w:tc>
          <w:tcPr>
            <w:tcW w:type="dxa" w:w="2196"/>
            <w:shd w:val="clear" w:color="auto" w:fill="FFFFFF"/>
          </w:tcPr>
          <w:p>
            <w:r>
              <w:rPr>
                <w:sz w:val="19"/>
              </w:rPr>
              <w:t>message, history</w:t>
            </w:r>
          </w:p>
        </w:tc>
      </w:tr>
    </w:tbl>
    <w:p/>
    <w:p>
      <w:pPr>
        <w:pStyle w:val="Heading2"/>
      </w:pPr>
      <w:r>
        <w:rPr>
          <w:b/>
          <w:color w:val="1D4ED8"/>
          <w:sz w:val="28"/>
        </w:rPr>
        <w:t>8.2 Patrón de Streaming IA</w:t>
      </w:r>
    </w:p>
    <w:p>
      <w:pPr>
        <w:spacing w:after="120"/>
      </w:pPr>
      <w:r>
        <w:rPr>
          <w:sz w:val="21"/>
        </w:rPr>
        <w:t>Todos los endpoints de IA que generan texto largo utilizan Server-Sent Events (SSE) mediante ReadableStream:</w:t>
      </w:r>
    </w:p>
    <w:p>
      <w:pPr>
        <w:spacing w:before="80" w:after="80"/>
        <w:ind w:left="567"/>
        <w:shd w:val="clear" w:color="auto" w:fill="F3F4F6"/>
      </w:pPr>
      <w:r>
        <w:rPr>
          <w:rFonts w:ascii="Courier New" w:hAnsi="Courier New"/>
          <w:color w:val="1A1A2E"/>
          <w:sz w:val="18"/>
        </w:rPr>
        <w:t>// Patrón implementado en: analyze, deep-analysis, ai-feedback, acreditacion</w:t>
        <w:br/>
        <w:br/>
        <w:t>const stream = await anthropic.messages.create({</w:t>
        <w:br/>
        <w:t xml:space="preserve">  model: 'claude-sonnet-4-6',</w:t>
        <w:br/>
        <w:t xml:space="preserve">  stream: true,</w:t>
        <w:br/>
        <w:t xml:space="preserve">  messages: [...],</w:t>
        <w:br/>
        <w:t>});</w:t>
        <w:br/>
        <w:br/>
        <w:t>return new Response(</w:t>
        <w:br/>
        <w:t xml:space="preserve">  new ReadableStream({</w:t>
        <w:br/>
        <w:t xml:space="preserve">    async start(controller) {</w:t>
        <w:br/>
        <w:t xml:space="preserve">      for await (const event of stream) {</w:t>
        <w:br/>
        <w:t xml:space="preserve">        if (event.type === 'content_block_delta') {</w:t>
        <w:br/>
        <w:t xml:space="preserve">          controller.enqueue(encoder.encode(</w:t>
        <w:br/>
        <w:t xml:space="preserve">            event.delta.text</w:t>
        <w:br/>
        <w:t xml:space="preserve">          ));</w:t>
        <w:br/>
        <w:t xml:space="preserve">        }</w:t>
        <w:br/>
        <w:t xml:space="preserve">      }</w:t>
        <w:br/>
        <w:t xml:space="preserve">      controller.close();</w:t>
        <w:br/>
        <w:t xml:space="preserve">    }</w:t>
        <w:br/>
        <w:t xml:space="preserve">  })</w:t>
        <w:br/>
        <w:t>);</w:t>
      </w:r>
    </w:p>
    <w:p>
      <w:r>
        <w:br w:type="page"/>
      </w:r>
    </w:p>
    <w:p>
      <w:pPr>
        <w:pStyle w:val="Heading1"/>
      </w:pPr>
      <w:r>
        <w:rPr>
          <w:b/>
          <w:color w:val="1E40AF"/>
          <w:sz w:val="36"/>
        </w:rPr>
        <w:t>9. Inteligencia Artificial y Análisis</w:t>
      </w:r>
    </w:p>
    <w:p>
      <w:pPr>
        <w:pStyle w:val="Heading2"/>
      </w:pPr>
      <w:r>
        <w:rPr>
          <w:b/>
          <w:color w:val="1D4ED8"/>
          <w:sz w:val="28"/>
        </w:rPr>
        <w:t>9.1 Modelo Utilizado</w:t>
      </w:r>
    </w:p>
    <w:tbl>
      <w:tblPr>
        <w:tblStyle w:val="TableGrid"/>
        <w:tblW w:type="auto" w:w="0"/>
        <w:tblLook w:firstColumn="1" w:firstRow="1" w:lastColumn="0" w:lastRow="0" w:noHBand="0" w:noVBand="1" w:val="04A0"/>
      </w:tblPr>
      <w:tblGrid>
        <w:gridCol w:w="4392"/>
        <w:gridCol w:w="4392"/>
      </w:tblGrid>
      <w:tr>
        <w:tc>
          <w:tcPr>
            <w:tcW w:type="dxa" w:w="4392"/>
            <w:shd w:val="clear" w:color="auto" w:fill="1E40AF"/>
          </w:tcPr>
          <w:p>
            <w:pPr>
              <w:jc w:val="center"/>
            </w:pPr>
            <w:r>
              <w:rPr>
                <w:b/>
                <w:color w:val="FFFFFF"/>
                <w:sz w:val="19"/>
              </w:rPr>
              <w:t>Parámetro</w:t>
            </w:r>
          </w:p>
        </w:tc>
        <w:tc>
          <w:tcPr>
            <w:tcW w:type="dxa" w:w="4392"/>
            <w:shd w:val="clear" w:color="auto" w:fill="1E40AF"/>
          </w:tcPr>
          <w:p>
            <w:pPr>
              <w:jc w:val="center"/>
            </w:pPr>
            <w:r>
              <w:rPr>
                <w:b/>
                <w:color w:val="FFFFFF"/>
                <w:sz w:val="19"/>
              </w:rPr>
              <w:t>Valor</w:t>
            </w:r>
          </w:p>
        </w:tc>
      </w:tr>
      <w:tr>
        <w:tc>
          <w:tcPr>
            <w:tcW w:type="dxa" w:w="4392"/>
            <w:shd w:val="clear" w:color="auto" w:fill="EFF6FF"/>
          </w:tcPr>
          <w:p>
            <w:r>
              <w:rPr>
                <w:sz w:val="19"/>
              </w:rPr>
              <w:t>Proveedor</w:t>
            </w:r>
          </w:p>
        </w:tc>
        <w:tc>
          <w:tcPr>
            <w:tcW w:type="dxa" w:w="4392"/>
            <w:shd w:val="clear" w:color="auto" w:fill="EFF6FF"/>
          </w:tcPr>
          <w:p>
            <w:r>
              <w:rPr>
                <w:sz w:val="19"/>
              </w:rPr>
              <w:t>Anthropic</w:t>
            </w:r>
          </w:p>
        </w:tc>
      </w:tr>
      <w:tr>
        <w:tc>
          <w:tcPr>
            <w:tcW w:type="dxa" w:w="4392"/>
            <w:shd w:val="clear" w:color="auto" w:fill="FFFFFF"/>
          </w:tcPr>
          <w:p>
            <w:r>
              <w:rPr>
                <w:sz w:val="19"/>
              </w:rPr>
              <w:t>Modelo</w:t>
            </w:r>
          </w:p>
        </w:tc>
        <w:tc>
          <w:tcPr>
            <w:tcW w:type="dxa" w:w="4392"/>
            <w:shd w:val="clear" w:color="auto" w:fill="FFFFFF"/>
          </w:tcPr>
          <w:p>
            <w:r>
              <w:rPr>
                <w:sz w:val="19"/>
              </w:rPr>
              <w:t>claude-sonnet-4-6</w:t>
            </w:r>
          </w:p>
        </w:tc>
      </w:tr>
      <w:tr>
        <w:tc>
          <w:tcPr>
            <w:tcW w:type="dxa" w:w="4392"/>
            <w:shd w:val="clear" w:color="auto" w:fill="EFF6FF"/>
          </w:tcPr>
          <w:p>
            <w:r>
              <w:rPr>
                <w:sz w:val="19"/>
              </w:rPr>
              <w:t>Modo de respuesta</w:t>
            </w:r>
          </w:p>
        </w:tc>
        <w:tc>
          <w:tcPr>
            <w:tcW w:type="dxa" w:w="4392"/>
            <w:shd w:val="clear" w:color="auto" w:fill="EFF6FF"/>
          </w:tcPr>
          <w:p>
            <w:r>
              <w:rPr>
                <w:sz w:val="19"/>
              </w:rPr>
              <w:t>Streaming (SSE)</w:t>
            </w:r>
          </w:p>
        </w:tc>
      </w:tr>
      <w:tr>
        <w:tc>
          <w:tcPr>
            <w:tcW w:type="dxa" w:w="4392"/>
            <w:shd w:val="clear" w:color="auto" w:fill="FFFFFF"/>
          </w:tcPr>
          <w:p>
            <w:r>
              <w:rPr>
                <w:sz w:val="19"/>
              </w:rPr>
              <w:t>Contexto máximo</w:t>
            </w:r>
          </w:p>
        </w:tc>
        <w:tc>
          <w:tcPr>
            <w:tcW w:type="dxa" w:w="4392"/>
            <w:shd w:val="clear" w:color="auto" w:fill="FFFFFF"/>
          </w:tcPr>
          <w:p>
            <w:r>
              <w:rPr>
                <w:sz w:val="19"/>
              </w:rPr>
              <w:t>200.000 tokens</w:t>
            </w:r>
          </w:p>
        </w:tc>
      </w:tr>
      <w:tr>
        <w:tc>
          <w:tcPr>
            <w:tcW w:type="dxa" w:w="4392"/>
            <w:shd w:val="clear" w:color="auto" w:fill="EFF6FF"/>
          </w:tcPr>
          <w:p>
            <w:r>
              <w:rPr>
                <w:sz w:val="19"/>
              </w:rPr>
              <w:t>Temperatura</w:t>
            </w:r>
          </w:p>
        </w:tc>
        <w:tc>
          <w:tcPr>
            <w:tcW w:type="dxa" w:w="4392"/>
            <w:shd w:val="clear" w:color="auto" w:fill="EFF6FF"/>
          </w:tcPr>
          <w:p>
            <w:r>
              <w:rPr>
                <w:sz w:val="19"/>
              </w:rPr>
              <w:t>Default (0.5–1.0 por endpoint)</w:t>
            </w:r>
          </w:p>
        </w:tc>
      </w:tr>
    </w:tbl>
    <w:p/>
    <w:p>
      <w:pPr>
        <w:pStyle w:val="Heading2"/>
      </w:pPr>
      <w:r>
        <w:rPr>
          <w:b/>
          <w:color w:val="1D4ED8"/>
          <w:sz w:val="28"/>
        </w:rPr>
        <w:t>9.2 Casos de Uso IA Implementados</w:t>
      </w:r>
    </w:p>
    <w:p>
      <w:pPr>
        <w:pStyle w:val="Heading3"/>
      </w:pPr>
      <w:r>
        <w:rPr>
          <w:b/>
          <w:color w:val="37518C"/>
          <w:sz w:val="24"/>
        </w:rPr>
        <w:t>1. Análisis Individual de Sostenedor (streaming)</w:t>
      </w:r>
    </w:p>
    <w:p>
      <w:pPr>
        <w:spacing w:after="120"/>
      </w:pPr>
      <w:r>
        <w:rPr>
          <w:sz w:val="21"/>
        </w:rPr>
        <w:t>Al seleccionar un sostenedor, el usuario puede solicitar un análisis IA que describe los riesgos específicos, contexto sectorial y recomendaciones de acción. El prompt incluye datos fiscales reales del sostenedor pre-formateados.</w:t>
      </w:r>
    </w:p>
    <w:p>
      <w:pPr>
        <w:pStyle w:val="Heading3"/>
      </w:pPr>
      <w:r>
        <w:rPr>
          <w:b/>
          <w:color w:val="37518C"/>
          <w:sz w:val="24"/>
        </w:rPr>
        <w:t>2. Análisis Profundo del Portfolio (streaming, auto-ejecutado)</w:t>
      </w:r>
    </w:p>
    <w:p>
      <w:pPr>
        <w:spacing w:after="120"/>
      </w:pPr>
      <w:r>
        <w:rPr>
          <w:sz w:val="21"/>
        </w:rPr>
        <w:t>En la página de Inteligencia, el análisis se ejecuta automáticamente al cargar los datos. Recibe estadísticas del portfolio completo + resumen de riesgos (top críticos, conteos, score promedio) y genera un informe estratégico con tendencias, alertas y recomendaciones.</w:t>
      </w:r>
    </w:p>
    <w:p>
      <w:pPr>
        <w:pStyle w:val="Heading3"/>
      </w:pPr>
      <w:r>
        <w:rPr>
          <w:b/>
          <w:color w:val="37518C"/>
          <w:sz w:val="24"/>
        </w:rPr>
        <w:t>3. AI Feedback por Sostenedor Flaggeado (modal)</w:t>
      </w:r>
    </w:p>
    <w:p>
      <w:pPr>
        <w:spacing w:after="120"/>
      </w:pPr>
      <w:r>
        <w:rPr>
          <w:sz w:val="21"/>
        </w:rPr>
        <w:t>Desde la tabla de riesgo, el supervisor puede abrir un modal con análisis IA personalizado para cada sostenedor flaggeado, incluyendo descripción de cada flag, contexto y pasos recomendados.</w:t>
      </w:r>
    </w:p>
    <w:p>
      <w:pPr>
        <w:pStyle w:val="Heading3"/>
      </w:pPr>
      <w:r>
        <w:rPr>
          <w:b/>
          <w:color w:val="37518C"/>
          <w:sz w:val="24"/>
        </w:rPr>
        <w:t>4. Chat con Datos del Portfolio (NL → SQL + respuesta)</w:t>
      </w:r>
    </w:p>
    <w:p>
      <w:pPr>
        <w:spacing w:after="120"/>
      </w:pPr>
      <w:r>
        <w:rPr>
          <w:sz w:val="21"/>
        </w:rPr>
        <w:t>El endpoint /api/intelligence/ask recibe una pregunta en lenguaje natural, usa IA para generar una consulta SQL, la ejecuta de forma segura via execute_sql(), y devuelve tanto el análisis textual como datos para graficar.</w:t>
      </w:r>
    </w:p>
    <w:p>
      <w:pPr>
        <w:pStyle w:val="Heading3"/>
      </w:pPr>
      <w:r>
        <w:rPr>
          <w:b/>
          <w:color w:val="37518C"/>
          <w:sz w:val="24"/>
        </w:rPr>
        <w:t>5. EduBot (Chat educativo con base de conocimiento)</w:t>
      </w:r>
    </w:p>
    <w:p>
      <w:pPr>
        <w:spacing w:after="120"/>
      </w:pPr>
      <w:r>
        <w:rPr>
          <w:sz w:val="21"/>
        </w:rPr>
        <w:t>El módulo EduBot (/milo) proporciona un chatbot especializado en normativa educacional chilena, reglamentos SIE, interpretación de indicadores y buenas prácticas de gestión escolar. Utiliza una base de conocimiento cargada en el prompt de sistema.</w:t>
      </w:r>
    </w:p>
    <w:p>
      <w:pPr>
        <w:pStyle w:val="Heading2"/>
      </w:pPr>
      <w:r>
        <w:rPr>
          <w:b/>
          <w:color w:val="1D4ED8"/>
          <w:sz w:val="28"/>
        </w:rPr>
        <w:t>9.3 Seguridad en Queries IA</w:t>
      </w:r>
    </w:p>
    <w:p>
      <w:pPr>
        <w:spacing w:after="120"/>
      </w:pPr>
      <w:r>
        <w:rPr>
          <w:sz w:val="21"/>
        </w:rPr>
        <w:t>Para prevenir inyecciones SQL desde la IA, se implementó una función PostgreSQL de solo lectura:</w:t>
      </w:r>
    </w:p>
    <w:p>
      <w:pPr>
        <w:spacing w:before="80" w:after="80"/>
        <w:ind w:left="567"/>
        <w:shd w:val="clear" w:color="auto" w:fill="F3F4F6"/>
      </w:pPr>
      <w:r>
        <w:rPr>
          <w:rFonts w:ascii="Courier New" w:hAnsi="Courier New"/>
          <w:color w:val="1A1A2E"/>
          <w:sz w:val="18"/>
        </w:rPr>
        <w:t>-- Función segura en Supabase:</w:t>
        <w:br/>
        <w:t>CREATE OR REPLACE FUNCTION desafio.execute_sql(query_text TEXT)</w:t>
        <w:br/>
        <w:t>RETURNS JSONB AS $$</w:t>
        <w:br/>
        <w:t>BEGIN</w:t>
        <w:br/>
        <w:t xml:space="preserve">  -- Validaciones:</w:t>
        <w:br/>
        <w:t xml:space="preserve">  -- 1. Solo SELECT (no INSERT/UPDATE/DELETE/DROP)</w:t>
        <w:br/>
        <w:t xml:space="preserve">  -- 2. Solo schema desafio (no public/auth)</w:t>
        <w:br/>
        <w:t xml:space="preserve">  -- 3. Límite de 1000 filas automático</w:t>
        <w:br/>
        <w:t xml:space="preserve">  -- 4. Timeout de 5 segundos</w:t>
        <w:br/>
        <w:t xml:space="preserve">  ...</w:t>
        <w:br/>
        <w:t>END;</w:t>
        <w:br/>
        <w:t>$$ LANGUAGE plpgsql SECURITY DEFINER;</w:t>
      </w:r>
    </w:p>
    <w:p>
      <w:r>
        <w:br w:type="page"/>
      </w:r>
    </w:p>
    <w:p>
      <w:pPr>
        <w:pStyle w:val="Heading1"/>
      </w:pPr>
      <w:r>
        <w:rPr>
          <w:b/>
          <w:color w:val="1E40AF"/>
          <w:sz w:val="36"/>
        </w:rPr>
        <w:t>10. Frontend y Componentes</w:t>
      </w:r>
    </w:p>
    <w:p>
      <w:pPr>
        <w:pStyle w:val="Heading2"/>
      </w:pPr>
      <w:r>
        <w:rPr>
          <w:b/>
          <w:color w:val="1D4ED8"/>
          <w:sz w:val="28"/>
        </w:rPr>
        <w:t>10.1 Páginas Principales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E40AF"/>
          </w:tcPr>
          <w:p>
            <w:pPr>
              <w:jc w:val="center"/>
            </w:pPr>
            <w:r>
              <w:rPr>
                <w:b/>
                <w:color w:val="FFFFFF"/>
                <w:sz w:val="19"/>
              </w:rPr>
              <w:t>Página</w:t>
            </w:r>
          </w:p>
        </w:tc>
        <w:tc>
          <w:tcPr>
            <w:tcW w:type="dxa" w:w="2928"/>
            <w:shd w:val="clear" w:color="auto" w:fill="1E40AF"/>
          </w:tcPr>
          <w:p>
            <w:pPr>
              <w:jc w:val="center"/>
            </w:pPr>
            <w:r>
              <w:rPr>
                <w:b/>
                <w:color w:val="FFFFFF"/>
                <w:sz w:val="19"/>
              </w:rPr>
              <w:t>Ruta</w:t>
            </w:r>
          </w:p>
        </w:tc>
        <w:tc>
          <w:tcPr>
            <w:tcW w:type="dxa" w:w="2928"/>
            <w:shd w:val="clear" w:color="auto" w:fill="1E40AF"/>
          </w:tcPr>
          <w:p>
            <w:pPr>
              <w:jc w:val="center"/>
            </w:pPr>
            <w:r>
              <w:rPr>
                <w:b/>
                <w:color w:val="FFFFFF"/>
                <w:sz w:val="19"/>
              </w:rPr>
              <w:t>Descripción</w:t>
            </w:r>
          </w:p>
        </w:tc>
      </w:tr>
      <w:tr>
        <w:tc>
          <w:tcPr>
            <w:tcW w:type="dxa" w:w="2928"/>
            <w:shd w:val="clear" w:color="auto" w:fill="EFF6FF"/>
          </w:tcPr>
          <w:p>
            <w:r>
              <w:rPr>
                <w:sz w:val="19"/>
              </w:rPr>
              <w:t>Redirect</w:t>
            </w:r>
          </w:p>
        </w:tc>
        <w:tc>
          <w:tcPr>
            <w:tcW w:type="dxa" w:w="2928"/>
            <w:shd w:val="clear" w:color="auto" w:fill="EFF6FF"/>
          </w:tcPr>
          <w:p>
            <w:r>
              <w:rPr>
                <w:sz w:val="19"/>
              </w:rPr>
              <w:t>/</w:t>
            </w:r>
          </w:p>
        </w:tc>
        <w:tc>
          <w:tcPr>
            <w:tcW w:type="dxa" w:w="2928"/>
            <w:shd w:val="clear" w:color="auto" w:fill="EFF6FF"/>
          </w:tcPr>
          <w:p>
            <w:r>
              <w:rPr>
                <w:sz w:val="19"/>
              </w:rPr>
              <w:t>Redirige automáticamente a /sostenedor</w:t>
            </w:r>
          </w:p>
        </w:tc>
      </w:tr>
      <w:tr>
        <w:tc>
          <w:tcPr>
            <w:tcW w:type="dxa" w:w="2928"/>
            <w:shd w:val="clear" w:color="auto" w:fill="FFFFFF"/>
          </w:tcPr>
          <w:p>
            <w:r>
              <w:rPr>
                <w:sz w:val="19"/>
              </w:rPr>
              <w:t>Perfiles Fiscales</w:t>
            </w:r>
          </w:p>
        </w:tc>
        <w:tc>
          <w:tcPr>
            <w:tcW w:type="dxa" w:w="2928"/>
            <w:shd w:val="clear" w:color="auto" w:fill="FFFFFF"/>
          </w:tcPr>
          <w:p>
            <w:r>
              <w:rPr>
                <w:sz w:val="19"/>
              </w:rPr>
              <w:t>/sostenedor</w:t>
            </w:r>
          </w:p>
        </w:tc>
        <w:tc>
          <w:tcPr>
            <w:tcW w:type="dxa" w:w="2928"/>
            <w:shd w:val="clear" w:color="auto" w:fill="FFFFFF"/>
          </w:tcPr>
          <w:p>
            <w:r>
              <w:rPr>
                <w:sz w:val="19"/>
              </w:rPr>
              <w:t>Lista de sostenedores con búsqueda, filtros, risk score y 8 sub-tabs de análisis</w:t>
            </w:r>
          </w:p>
        </w:tc>
      </w:tr>
      <w:tr>
        <w:tc>
          <w:tcPr>
            <w:tcW w:type="dxa" w:w="2928"/>
            <w:shd w:val="clear" w:color="auto" w:fill="EFF6FF"/>
          </w:tcPr>
          <w:p>
            <w:r>
              <w:rPr>
                <w:sz w:val="19"/>
              </w:rPr>
              <w:t>Inteligencia</w:t>
            </w:r>
          </w:p>
        </w:tc>
        <w:tc>
          <w:tcPr>
            <w:tcW w:type="dxa" w:w="2928"/>
            <w:shd w:val="clear" w:color="auto" w:fill="EFF6FF"/>
          </w:tcPr>
          <w:p>
            <w:r>
              <w:rPr>
                <w:sz w:val="19"/>
              </w:rPr>
              <w:t>/intelligence</w:t>
            </w:r>
          </w:p>
        </w:tc>
        <w:tc>
          <w:tcPr>
            <w:tcW w:type="dxa" w:w="2928"/>
            <w:shd w:val="clear" w:color="auto" w:fill="EFF6FF"/>
          </w:tcPr>
          <w:p>
            <w:r>
              <w:rPr>
                <w:sz w:val="19"/>
              </w:rPr>
              <w:t>Dashboard del portfolio: KPIs de riesgo, tabla de flaggeados, gráficos, análisis IA auto-ejecutado</w:t>
            </w:r>
          </w:p>
        </w:tc>
      </w:tr>
      <w:tr>
        <w:tc>
          <w:tcPr>
            <w:tcW w:type="dxa" w:w="2928"/>
            <w:shd w:val="clear" w:color="auto" w:fill="FFFFFF"/>
          </w:tcPr>
          <w:p>
            <w:r>
              <w:rPr>
                <w:sz w:val="19"/>
              </w:rPr>
              <w:t>EduBot</w:t>
            </w:r>
          </w:p>
        </w:tc>
        <w:tc>
          <w:tcPr>
            <w:tcW w:type="dxa" w:w="2928"/>
            <w:shd w:val="clear" w:color="auto" w:fill="FFFFFF"/>
          </w:tcPr>
          <w:p>
            <w:r>
              <w:rPr>
                <w:sz w:val="19"/>
              </w:rPr>
              <w:t>/milo</w:t>
            </w:r>
          </w:p>
        </w:tc>
        <w:tc>
          <w:tcPr>
            <w:tcW w:type="dxa" w:w="2928"/>
            <w:shd w:val="clear" w:color="auto" w:fill="FFFFFF"/>
          </w:tcPr>
          <w:p>
            <w:r>
              <w:rPr>
                <w:sz w:val="19"/>
              </w:rPr>
              <w:t>Chat con IA especializado en educación y normativa SIE</w:t>
            </w:r>
          </w:p>
        </w:tc>
      </w:tr>
      <w:tr>
        <w:tc>
          <w:tcPr>
            <w:tcW w:type="dxa" w:w="2928"/>
            <w:shd w:val="clear" w:color="auto" w:fill="EFF6FF"/>
          </w:tcPr>
          <w:p>
            <w:r>
              <w:rPr>
                <w:sz w:val="19"/>
              </w:rPr>
              <w:t>Alertas</w:t>
            </w:r>
          </w:p>
        </w:tc>
        <w:tc>
          <w:tcPr>
            <w:tcW w:type="dxa" w:w="2928"/>
            <w:shd w:val="clear" w:color="auto" w:fill="EFF6FF"/>
          </w:tcPr>
          <w:p>
            <w:r>
              <w:rPr>
                <w:sz w:val="19"/>
              </w:rPr>
              <w:t>/alertas</w:t>
            </w:r>
          </w:p>
        </w:tc>
        <w:tc>
          <w:tcPr>
            <w:tcW w:type="dxa" w:w="2928"/>
            <w:shd w:val="clear" w:color="auto" w:fill="EFF6FF"/>
          </w:tcPr>
          <w:p>
            <w:r>
              <w:rPr>
                <w:sz w:val="19"/>
              </w:rPr>
              <w:t>Sistema de alertas automáticas clasificadas por severidad</w:t>
            </w:r>
          </w:p>
        </w:tc>
      </w:tr>
      <w:tr>
        <w:tc>
          <w:tcPr>
            <w:tcW w:type="dxa" w:w="2928"/>
            <w:shd w:val="clear" w:color="auto" w:fill="FFFFFF"/>
          </w:tcPr>
          <w:p>
            <w:r>
              <w:rPr>
                <w:sz w:val="19"/>
              </w:rPr>
              <w:t>GNA</w:t>
            </w:r>
          </w:p>
        </w:tc>
        <w:tc>
          <w:tcPr>
            <w:tcW w:type="dxa" w:w="2928"/>
            <w:shd w:val="clear" w:color="auto" w:fill="FFFFFF"/>
          </w:tcPr>
          <w:p>
            <w:r>
              <w:rPr>
                <w:sz w:val="19"/>
              </w:rPr>
              <w:t>/gna</w:t>
            </w:r>
          </w:p>
        </w:tc>
        <w:tc>
          <w:tcPr>
            <w:tcW w:type="dxa" w:w="2928"/>
            <w:shd w:val="clear" w:color="auto" w:fill="FFFFFF"/>
          </w:tcPr>
          <w:p>
            <w:r>
              <w:rPr>
                <w:sz w:val="19"/>
              </w:rPr>
              <w:t>Análisis de Gastos No Aceptados por período, estado y cuenta</w:t>
            </w:r>
          </w:p>
        </w:tc>
      </w:tr>
    </w:tbl>
    <w:p/>
    <w:p>
      <w:pPr>
        <w:pStyle w:val="Heading2"/>
      </w:pPr>
      <w:r>
        <w:rPr>
          <w:b/>
          <w:color w:val="1D4ED8"/>
          <w:sz w:val="28"/>
        </w:rPr>
        <w:t>10.2 Sub-tabs del Perfil de Sostenedor</w:t>
      </w:r>
    </w:p>
    <w:tbl>
      <w:tblPr>
        <w:tblStyle w:val="TableGrid"/>
        <w:tblW w:type="auto" w:w="0"/>
        <w:tblLook w:firstColumn="1" w:firstRow="1" w:lastColumn="0" w:lastRow="0" w:noHBand="0" w:noVBand="1" w:val="04A0"/>
      </w:tblPr>
      <w:tblGrid>
        <w:gridCol w:w="4392"/>
        <w:gridCol w:w="4392"/>
      </w:tblGrid>
      <w:tr>
        <w:tc>
          <w:tcPr>
            <w:tcW w:type="dxa" w:w="4392"/>
            <w:shd w:val="clear" w:color="auto" w:fill="1E40AF"/>
          </w:tcPr>
          <w:p>
            <w:pPr>
              <w:jc w:val="center"/>
            </w:pPr>
            <w:r>
              <w:rPr>
                <w:b/>
                <w:color w:val="FFFFFF"/>
                <w:sz w:val="19"/>
              </w:rPr>
              <w:t>Tab</w:t>
            </w:r>
          </w:p>
        </w:tc>
        <w:tc>
          <w:tcPr>
            <w:tcW w:type="dxa" w:w="4392"/>
            <w:shd w:val="clear" w:color="auto" w:fill="1E40AF"/>
          </w:tcPr>
          <w:p>
            <w:pPr>
              <w:jc w:val="center"/>
            </w:pPr>
            <w:r>
              <w:rPr>
                <w:b/>
                <w:color w:val="FFFFFF"/>
                <w:sz w:val="19"/>
              </w:rPr>
              <w:t>Descripción</w:t>
            </w:r>
          </w:p>
        </w:tc>
      </w:tr>
      <w:tr>
        <w:tc>
          <w:tcPr>
            <w:tcW w:type="dxa" w:w="4392"/>
            <w:shd w:val="clear" w:color="auto" w:fill="EFF6FF"/>
          </w:tcPr>
          <w:p>
            <w:r>
              <w:rPr>
                <w:sz w:val="19"/>
              </w:rPr>
              <w:t>Análisis IA</w:t>
            </w:r>
          </w:p>
        </w:tc>
        <w:tc>
          <w:tcPr>
            <w:tcW w:type="dxa" w:w="4392"/>
            <w:shd w:val="clear" w:color="auto" w:fill="EFF6FF"/>
          </w:tcPr>
          <w:p>
            <w:r>
              <w:rPr>
                <w:sz w:val="19"/>
              </w:rPr>
              <w:t>Análisis contextual streaming con Claude, identificación de alertas</w:t>
            </w:r>
          </w:p>
        </w:tc>
      </w:tr>
      <w:tr>
        <w:tc>
          <w:tcPr>
            <w:tcW w:type="dxa" w:w="4392"/>
            <w:shd w:val="clear" w:color="auto" w:fill="FFFFFF"/>
          </w:tcPr>
          <w:p>
            <w:r>
              <w:rPr>
                <w:sz w:val="19"/>
              </w:rPr>
              <w:t>Benchmark</w:t>
            </w:r>
          </w:p>
        </w:tc>
        <w:tc>
          <w:tcPr>
            <w:tcW w:type="dxa" w:w="4392"/>
            <w:shd w:val="clear" w:color="auto" w:fill="FFFFFF"/>
          </w:tcPr>
          <w:p>
            <w:r>
              <w:rPr>
                <w:sz w:val="19"/>
              </w:rPr>
              <w:t>Comparativa con pares del mismo tipo/región</w:t>
            </w:r>
          </w:p>
        </w:tc>
      </w:tr>
      <w:tr>
        <w:tc>
          <w:tcPr>
            <w:tcW w:type="dxa" w:w="4392"/>
            <w:shd w:val="clear" w:color="auto" w:fill="EFF6FF"/>
          </w:tcPr>
          <w:p>
            <w:r>
              <w:rPr>
                <w:sz w:val="19"/>
              </w:rPr>
              <w:t>Simulación</w:t>
            </w:r>
          </w:p>
        </w:tc>
        <w:tc>
          <w:tcPr>
            <w:tcW w:type="dxa" w:w="4392"/>
            <w:shd w:val="clear" w:color="auto" w:fill="EFF6FF"/>
          </w:tcPr>
          <w:p>
            <w:r>
              <w:rPr>
                <w:sz w:val="19"/>
              </w:rPr>
              <w:t>Proyector de impacto: qué pasa si cambio admin% o payroll%</w:t>
            </w:r>
          </w:p>
        </w:tc>
      </w:tr>
      <w:tr>
        <w:tc>
          <w:tcPr>
            <w:tcW w:type="dxa" w:w="4392"/>
            <w:shd w:val="clear" w:color="auto" w:fill="FFFFFF"/>
          </w:tcPr>
          <w:p>
            <w:r>
              <w:rPr>
                <w:sz w:val="19"/>
              </w:rPr>
              <w:t>#6 Acreditación</w:t>
            </w:r>
          </w:p>
        </w:tc>
        <w:tc>
          <w:tcPr>
            <w:tcW w:type="dxa" w:w="4392"/>
            <w:shd w:val="clear" w:color="auto" w:fill="FFFFFF"/>
          </w:tcPr>
          <w:p>
            <w:r>
              <w:rPr>
                <w:sz w:val="19"/>
              </w:rPr>
              <w:t>Indicadores de acreditación de saldos y tasa de ejecución</w:t>
            </w:r>
          </w:p>
        </w:tc>
      </w:tr>
      <w:tr>
        <w:tc>
          <w:tcPr>
            <w:tcW w:type="dxa" w:w="4392"/>
            <w:shd w:val="clear" w:color="auto" w:fill="EFF6FF"/>
          </w:tcPr>
          <w:p>
            <w:r>
              <w:rPr>
                <w:sz w:val="19"/>
              </w:rPr>
              <w:t>#7 Histórico</w:t>
            </w:r>
          </w:p>
        </w:tc>
        <w:tc>
          <w:tcPr>
            <w:tcW w:type="dxa" w:w="4392"/>
            <w:shd w:val="clear" w:color="auto" w:fill="EFF6FF"/>
          </w:tcPr>
          <w:p>
            <w:r>
              <w:rPr>
                <w:sz w:val="19"/>
              </w:rPr>
              <w:t>Evolución multiperíodo de todos los indicadores</w:t>
            </w:r>
          </w:p>
        </w:tc>
      </w:tr>
      <w:tr>
        <w:tc>
          <w:tcPr>
            <w:tcW w:type="dxa" w:w="4392"/>
            <w:shd w:val="clear" w:color="auto" w:fill="FFFFFF"/>
          </w:tcPr>
          <w:p>
            <w:r>
              <w:rPr>
                <w:sz w:val="19"/>
              </w:rPr>
              <w:t>#8 Proyección</w:t>
            </w:r>
          </w:p>
        </w:tc>
        <w:tc>
          <w:tcPr>
            <w:tcW w:type="dxa" w:w="4392"/>
            <w:shd w:val="clear" w:color="auto" w:fill="FFFFFF"/>
          </w:tcPr>
          <w:p>
            <w:r>
              <w:rPr>
                <w:sz w:val="19"/>
              </w:rPr>
              <w:t>Regresión OLS con intervalos de confianza a 1–4 períodos</w:t>
            </w:r>
          </w:p>
        </w:tc>
      </w:tr>
      <w:tr>
        <w:tc>
          <w:tcPr>
            <w:tcW w:type="dxa" w:w="4392"/>
            <w:shd w:val="clear" w:color="auto" w:fill="EFF6FF"/>
          </w:tcPr>
          <w:p>
            <w:r>
              <w:rPr>
                <w:sz w:val="19"/>
              </w:rPr>
              <w:t>#1·2·12·13 MINEDUC</w:t>
            </w:r>
          </w:p>
        </w:tc>
        <w:tc>
          <w:tcPr>
            <w:tcW w:type="dxa" w:w="4392"/>
            <w:shd w:val="clear" w:color="auto" w:fill="EFF6FF"/>
          </w:tcPr>
          <w:p>
            <w:r>
              <w:rPr>
                <w:sz w:val="19"/>
              </w:rPr>
              <w:t>Costo por alumno, eficiencia pedagógica, SNED×riesgo, alumnos/docente</w:t>
            </w:r>
          </w:p>
        </w:tc>
      </w:tr>
    </w:tbl>
    <w:p/>
    <w:p>
      <w:pPr>
        <w:pStyle w:val="Heading2"/>
      </w:pPr>
      <w:r>
        <w:rPr>
          <w:b/>
          <w:color w:val="1D4ED8"/>
          <w:sz w:val="28"/>
        </w:rPr>
        <w:t>10.3 Cache del Cliente (education-store.ts)</w:t>
      </w:r>
    </w:p>
    <w:p>
      <w:pPr>
        <w:spacing w:after="120"/>
      </w:pPr>
      <w:r>
        <w:rPr>
          <w:sz w:val="21"/>
        </w:rPr>
        <w:t>Para reducir requests redundantes, se implementó un store en memoria con TTL de 5 minutos para los datos del sostenedor activo, usando sessionStorage como respaldo.</w:t>
      </w:r>
    </w:p>
    <w:p>
      <w:pPr>
        <w:spacing w:before="80" w:after="80"/>
        <w:ind w:left="567"/>
        <w:shd w:val="clear" w:color="auto" w:fill="F3F4F6"/>
      </w:pPr>
      <w:r>
        <w:rPr>
          <w:rFonts w:ascii="Courier New" w:hAnsi="Courier New"/>
          <w:color w:val="1A1A2E"/>
          <w:sz w:val="18"/>
        </w:rPr>
        <w:t>// Funciones disponibles:</w:t>
        <w:br/>
        <w:t>getSostenedorCache(sostId)     → datos cacheados o null</w:t>
        <w:br/>
        <w:t>setSostenedorCache(sostId, d)  → guarda con timestamp</w:t>
        <w:br/>
        <w:t>isSostenedorFresh(sostId)      → true si TTL no expiró</w:t>
        <w:br/>
        <w:t>getConnectedStatus()           → estado de conexión Supabase</w:t>
        <w:br/>
        <w:t>setConnectedStatus(bool)       → persiste en sessionStorage</w:t>
      </w:r>
    </w:p>
    <w:p>
      <w:r>
        <w:br w:type="page"/>
      </w:r>
    </w:p>
    <w:p>
      <w:pPr>
        <w:pStyle w:val="Heading1"/>
      </w:pPr>
      <w:r>
        <w:rPr>
          <w:b/>
          <w:color w:val="1E40AF"/>
          <w:sz w:val="36"/>
        </w:rPr>
        <w:t>11. Despliegue y Operaciones</w:t>
      </w:r>
    </w:p>
    <w:p>
      <w:pPr>
        <w:pStyle w:val="Heading2"/>
      </w:pPr>
      <w:r>
        <w:rPr>
          <w:b/>
          <w:color w:val="1D4ED8"/>
          <w:sz w:val="28"/>
        </w:rPr>
        <w:t>11.1 Infraestructura</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E40AF"/>
          </w:tcPr>
          <w:p>
            <w:pPr>
              <w:jc w:val="center"/>
            </w:pPr>
            <w:r>
              <w:rPr>
                <w:b/>
                <w:color w:val="FFFFFF"/>
                <w:sz w:val="19"/>
              </w:rPr>
              <w:t>Componente</w:t>
            </w:r>
          </w:p>
        </w:tc>
        <w:tc>
          <w:tcPr>
            <w:tcW w:type="dxa" w:w="2196"/>
            <w:shd w:val="clear" w:color="auto" w:fill="1E40AF"/>
          </w:tcPr>
          <w:p>
            <w:pPr>
              <w:jc w:val="center"/>
            </w:pPr>
            <w:r>
              <w:rPr>
                <w:b/>
                <w:color w:val="FFFFFF"/>
                <w:sz w:val="19"/>
              </w:rPr>
              <w:t>Servicio</w:t>
            </w:r>
          </w:p>
        </w:tc>
        <w:tc>
          <w:tcPr>
            <w:tcW w:type="dxa" w:w="2196"/>
            <w:shd w:val="clear" w:color="auto" w:fill="1E40AF"/>
          </w:tcPr>
          <w:p>
            <w:pPr>
              <w:jc w:val="center"/>
            </w:pPr>
            <w:r>
              <w:rPr>
                <w:b/>
                <w:color w:val="FFFFFF"/>
                <w:sz w:val="19"/>
              </w:rPr>
              <w:t>Región</w:t>
            </w:r>
          </w:p>
        </w:tc>
        <w:tc>
          <w:tcPr>
            <w:tcW w:type="dxa" w:w="2196"/>
            <w:shd w:val="clear" w:color="auto" w:fill="1E40AF"/>
          </w:tcPr>
          <w:p>
            <w:pPr>
              <w:jc w:val="center"/>
            </w:pPr>
            <w:r>
              <w:rPr>
                <w:b/>
                <w:color w:val="FFFFFF"/>
                <w:sz w:val="19"/>
              </w:rPr>
              <w:t>Plan</w:t>
            </w:r>
          </w:p>
        </w:tc>
      </w:tr>
      <w:tr>
        <w:tc>
          <w:tcPr>
            <w:tcW w:type="dxa" w:w="2196"/>
            <w:shd w:val="clear" w:color="auto" w:fill="EFF6FF"/>
          </w:tcPr>
          <w:p>
            <w:r>
              <w:rPr>
                <w:sz w:val="19"/>
              </w:rPr>
              <w:t>Base de datos</w:t>
            </w:r>
          </w:p>
        </w:tc>
        <w:tc>
          <w:tcPr>
            <w:tcW w:type="dxa" w:w="2196"/>
            <w:shd w:val="clear" w:color="auto" w:fill="EFF6FF"/>
          </w:tcPr>
          <w:p>
            <w:r>
              <w:rPr>
                <w:sz w:val="19"/>
              </w:rPr>
              <w:t>Supabase PostgreSQL</w:t>
            </w:r>
          </w:p>
        </w:tc>
        <w:tc>
          <w:tcPr>
            <w:tcW w:type="dxa" w:w="2196"/>
            <w:shd w:val="clear" w:color="auto" w:fill="EFF6FF"/>
          </w:tcPr>
          <w:p>
            <w:r>
              <w:rPr>
                <w:sz w:val="19"/>
              </w:rPr>
              <w:t>us-east-1</w:t>
            </w:r>
          </w:p>
        </w:tc>
        <w:tc>
          <w:tcPr>
            <w:tcW w:type="dxa" w:w="2196"/>
            <w:shd w:val="clear" w:color="auto" w:fill="EFF6FF"/>
          </w:tcPr>
          <w:p>
            <w:r>
              <w:rPr>
                <w:sz w:val="19"/>
              </w:rPr>
              <w:t>Pro</w:t>
            </w:r>
          </w:p>
        </w:tc>
      </w:tr>
      <w:tr>
        <w:tc>
          <w:tcPr>
            <w:tcW w:type="dxa" w:w="2196"/>
            <w:shd w:val="clear" w:color="auto" w:fill="FFFFFF"/>
          </w:tcPr>
          <w:p>
            <w:r>
              <w:rPr>
                <w:sz w:val="19"/>
              </w:rPr>
              <w:t>Frontend + APIs</w:t>
            </w:r>
          </w:p>
        </w:tc>
        <w:tc>
          <w:tcPr>
            <w:tcW w:type="dxa" w:w="2196"/>
            <w:shd w:val="clear" w:color="auto" w:fill="FFFFFF"/>
          </w:tcPr>
          <w:p>
            <w:r>
              <w:rPr>
                <w:sz w:val="19"/>
              </w:rPr>
              <w:t>Vercel Edge Network</w:t>
            </w:r>
          </w:p>
        </w:tc>
        <w:tc>
          <w:tcPr>
            <w:tcW w:type="dxa" w:w="2196"/>
            <w:shd w:val="clear" w:color="auto" w:fill="FFFFFF"/>
          </w:tcPr>
          <w:p>
            <w:r>
              <w:rPr>
                <w:sz w:val="19"/>
              </w:rPr>
              <w:t>Global CDN</w:t>
            </w:r>
          </w:p>
        </w:tc>
        <w:tc>
          <w:tcPr>
            <w:tcW w:type="dxa" w:w="2196"/>
            <w:shd w:val="clear" w:color="auto" w:fill="FFFFFF"/>
          </w:tcPr>
          <w:p>
            <w:r>
              <w:rPr>
                <w:sz w:val="19"/>
              </w:rPr>
              <w:t>Pro</w:t>
            </w:r>
          </w:p>
        </w:tc>
      </w:tr>
      <w:tr>
        <w:tc>
          <w:tcPr>
            <w:tcW w:type="dxa" w:w="2196"/>
            <w:shd w:val="clear" w:color="auto" w:fill="EFF6FF"/>
          </w:tcPr>
          <w:p>
            <w:r>
              <w:rPr>
                <w:sz w:val="19"/>
              </w:rPr>
              <w:t>Control de versiones</w:t>
            </w:r>
          </w:p>
        </w:tc>
        <w:tc>
          <w:tcPr>
            <w:tcW w:type="dxa" w:w="2196"/>
            <w:shd w:val="clear" w:color="auto" w:fill="EFF6FF"/>
          </w:tcPr>
          <w:p>
            <w:r>
              <w:rPr>
                <w:sz w:val="19"/>
              </w:rPr>
              <w:t>GitHub</w:t>
            </w:r>
          </w:p>
        </w:tc>
        <w:tc>
          <w:tcPr>
            <w:tcW w:type="dxa" w:w="2196"/>
            <w:shd w:val="clear" w:color="auto" w:fill="EFF6FF"/>
          </w:tcPr>
          <w:p>
            <w:r>
              <w:rPr>
                <w:sz w:val="19"/>
              </w:rPr>
              <w:t>rudycelekli/encompass-portal</w:t>
            </w:r>
          </w:p>
        </w:tc>
        <w:tc>
          <w:tcPr>
            <w:tcW w:type="dxa" w:w="2196"/>
            <w:shd w:val="clear" w:color="auto" w:fill="EFF6FF"/>
          </w:tcPr>
          <w:p>
            <w:r>
              <w:rPr>
                <w:sz w:val="19"/>
              </w:rPr>
              <w:t>Free</w:t>
            </w:r>
          </w:p>
        </w:tc>
      </w:tr>
      <w:tr>
        <w:tc>
          <w:tcPr>
            <w:tcW w:type="dxa" w:w="2196"/>
            <w:shd w:val="clear" w:color="auto" w:fill="FFFFFF"/>
          </w:tcPr>
          <w:p>
            <w:r>
              <w:rPr>
                <w:sz w:val="19"/>
              </w:rPr>
              <w:t>IA</w:t>
            </w:r>
          </w:p>
        </w:tc>
        <w:tc>
          <w:tcPr>
            <w:tcW w:type="dxa" w:w="2196"/>
            <w:shd w:val="clear" w:color="auto" w:fill="FFFFFF"/>
          </w:tcPr>
          <w:p>
            <w:r>
              <w:rPr>
                <w:sz w:val="19"/>
              </w:rPr>
              <w:t>Anthropic API</w:t>
            </w:r>
          </w:p>
        </w:tc>
        <w:tc>
          <w:tcPr>
            <w:tcW w:type="dxa" w:w="2196"/>
            <w:shd w:val="clear" w:color="auto" w:fill="FFFFFF"/>
          </w:tcPr>
          <w:p>
            <w:r>
              <w:rPr>
                <w:sz w:val="19"/>
              </w:rPr>
              <w:t>Multi-región</w:t>
            </w:r>
          </w:p>
        </w:tc>
        <w:tc>
          <w:tcPr>
            <w:tcW w:type="dxa" w:w="2196"/>
            <w:shd w:val="clear" w:color="auto" w:fill="FFFFFF"/>
          </w:tcPr>
          <w:p>
            <w:r>
              <w:rPr>
                <w:sz w:val="19"/>
              </w:rPr>
              <w:t>API de pago</w:t>
            </w:r>
          </w:p>
        </w:tc>
      </w:tr>
    </w:tbl>
    <w:p/>
    <w:p>
      <w:pPr>
        <w:pStyle w:val="Heading2"/>
      </w:pPr>
      <w:r>
        <w:rPr>
          <w:b/>
          <w:color w:val="1D4ED8"/>
          <w:sz w:val="28"/>
        </w:rPr>
        <w:t>11.2 Variables de Entorno</w:t>
      </w:r>
    </w:p>
    <w:p>
      <w:pPr>
        <w:spacing w:after="120"/>
      </w:pPr>
      <w:r>
        <w:rPr>
          <w:b/>
          <w:sz w:val="21"/>
        </w:rPr>
        <w:t>Configurar las siguientes variables en Vercel (Settings → Environment Variables):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E40AF"/>
          </w:tcPr>
          <w:p>
            <w:pPr>
              <w:jc w:val="center"/>
            </w:pPr>
            <w:r>
              <w:rPr>
                <w:b/>
                <w:color w:val="FFFFFF"/>
                <w:sz w:val="19"/>
              </w:rPr>
              <w:t>Variable</w:t>
            </w:r>
          </w:p>
        </w:tc>
        <w:tc>
          <w:tcPr>
            <w:tcW w:type="dxa" w:w="2928"/>
            <w:shd w:val="clear" w:color="auto" w:fill="1E40AF"/>
          </w:tcPr>
          <w:p>
            <w:pPr>
              <w:jc w:val="center"/>
            </w:pPr>
            <w:r>
              <w:rPr>
                <w:b/>
                <w:color w:val="FFFFFF"/>
                <w:sz w:val="19"/>
              </w:rPr>
              <w:t>Descripción</w:t>
            </w:r>
          </w:p>
        </w:tc>
        <w:tc>
          <w:tcPr>
            <w:tcW w:type="dxa" w:w="2928"/>
            <w:shd w:val="clear" w:color="auto" w:fill="1E40AF"/>
          </w:tcPr>
          <w:p>
            <w:pPr>
              <w:jc w:val="center"/>
            </w:pPr>
            <w:r>
              <w:rPr>
                <w:b/>
                <w:color w:val="FFFFFF"/>
                <w:sz w:val="19"/>
              </w:rPr>
              <w:t>Dónde obtenerla</w:t>
            </w:r>
          </w:p>
        </w:tc>
      </w:tr>
      <w:tr>
        <w:tc>
          <w:tcPr>
            <w:tcW w:type="dxa" w:w="2928"/>
            <w:shd w:val="clear" w:color="auto" w:fill="EFF6FF"/>
          </w:tcPr>
          <w:p>
            <w:r>
              <w:rPr>
                <w:sz w:val="19"/>
              </w:rPr>
              <w:t>NEXT_PUBLIC_SUPABASE_URL</w:t>
            </w:r>
          </w:p>
        </w:tc>
        <w:tc>
          <w:tcPr>
            <w:tcW w:type="dxa" w:w="2928"/>
            <w:shd w:val="clear" w:color="auto" w:fill="EFF6FF"/>
          </w:tcPr>
          <w:p>
            <w:r>
              <w:rPr>
                <w:sz w:val="19"/>
              </w:rPr>
              <w:t>URL del proyecto Supabase</w:t>
            </w:r>
          </w:p>
        </w:tc>
        <w:tc>
          <w:tcPr>
            <w:tcW w:type="dxa" w:w="2928"/>
            <w:shd w:val="clear" w:color="auto" w:fill="EFF6FF"/>
          </w:tcPr>
          <w:p>
            <w:r>
              <w:rPr>
                <w:sz w:val="19"/>
              </w:rPr>
              <w:t>Supabase Dashboard → Settings → API</w:t>
            </w:r>
          </w:p>
        </w:tc>
      </w:tr>
      <w:tr>
        <w:tc>
          <w:tcPr>
            <w:tcW w:type="dxa" w:w="2928"/>
            <w:shd w:val="clear" w:color="auto" w:fill="FFFFFF"/>
          </w:tcPr>
          <w:p>
            <w:r>
              <w:rPr>
                <w:sz w:val="19"/>
              </w:rPr>
              <w:t>NEXT_PUBLIC_SUPABASE_ANON_KEY</w:t>
            </w:r>
          </w:p>
        </w:tc>
        <w:tc>
          <w:tcPr>
            <w:tcW w:type="dxa" w:w="2928"/>
            <w:shd w:val="clear" w:color="auto" w:fill="FFFFFF"/>
          </w:tcPr>
          <w:p>
            <w:r>
              <w:rPr>
                <w:sz w:val="19"/>
              </w:rPr>
              <w:t>Clave pública anónima</w:t>
            </w:r>
          </w:p>
        </w:tc>
        <w:tc>
          <w:tcPr>
            <w:tcW w:type="dxa" w:w="2928"/>
            <w:shd w:val="clear" w:color="auto" w:fill="FFFFFF"/>
          </w:tcPr>
          <w:p>
            <w:r>
              <w:rPr>
                <w:sz w:val="19"/>
              </w:rPr>
              <w:t>Supabase Dashboard → Settings → API</w:t>
            </w:r>
          </w:p>
        </w:tc>
      </w:tr>
      <w:tr>
        <w:tc>
          <w:tcPr>
            <w:tcW w:type="dxa" w:w="2928"/>
            <w:shd w:val="clear" w:color="auto" w:fill="EFF6FF"/>
          </w:tcPr>
          <w:p>
            <w:r>
              <w:rPr>
                <w:sz w:val="19"/>
              </w:rPr>
              <w:t>SUPABASE_SERVICE_ROLE_KEY</w:t>
            </w:r>
          </w:p>
        </w:tc>
        <w:tc>
          <w:tcPr>
            <w:tcW w:type="dxa" w:w="2928"/>
            <w:shd w:val="clear" w:color="auto" w:fill="EFF6FF"/>
          </w:tcPr>
          <w:p>
            <w:r>
              <w:rPr>
                <w:sz w:val="19"/>
              </w:rPr>
              <w:t>Clave de servicio (privada)</w:t>
            </w:r>
          </w:p>
        </w:tc>
        <w:tc>
          <w:tcPr>
            <w:tcW w:type="dxa" w:w="2928"/>
            <w:shd w:val="clear" w:color="auto" w:fill="EFF6FF"/>
          </w:tcPr>
          <w:p>
            <w:r>
              <w:rPr>
                <w:sz w:val="19"/>
              </w:rPr>
              <w:t>Supabase Dashboard → Settings → API</w:t>
            </w:r>
          </w:p>
        </w:tc>
      </w:tr>
      <w:tr>
        <w:tc>
          <w:tcPr>
            <w:tcW w:type="dxa" w:w="2928"/>
            <w:shd w:val="clear" w:color="auto" w:fill="FFFFFF"/>
          </w:tcPr>
          <w:p>
            <w:r>
              <w:rPr>
                <w:sz w:val="19"/>
              </w:rPr>
              <w:t>ANTHROPIC_API_KEY</w:t>
            </w:r>
          </w:p>
        </w:tc>
        <w:tc>
          <w:tcPr>
            <w:tcW w:type="dxa" w:w="2928"/>
            <w:shd w:val="clear" w:color="auto" w:fill="FFFFFF"/>
          </w:tcPr>
          <w:p>
            <w:r>
              <w:rPr>
                <w:sz w:val="19"/>
              </w:rPr>
              <w:t>Clave de API de Anthropic</w:t>
            </w:r>
          </w:p>
        </w:tc>
        <w:tc>
          <w:tcPr>
            <w:tcW w:type="dxa" w:w="2928"/>
            <w:shd w:val="clear" w:color="auto" w:fill="FFFFFF"/>
          </w:tcPr>
          <w:p>
            <w:r>
              <w:rPr>
                <w:sz w:val="19"/>
              </w:rPr>
              <w:t>console.anthropic.com → API Keys</w:t>
            </w:r>
          </w:p>
        </w:tc>
      </w:tr>
      <w:tr>
        <w:tc>
          <w:tcPr>
            <w:tcW w:type="dxa" w:w="2928"/>
            <w:shd w:val="clear" w:color="auto" w:fill="EFF6FF"/>
          </w:tcPr>
          <w:p>
            <w:r>
              <w:rPr>
                <w:sz w:val="19"/>
              </w:rPr>
              <w:t>CRON_SECRET</w:t>
            </w:r>
          </w:p>
        </w:tc>
        <w:tc>
          <w:tcPr>
            <w:tcW w:type="dxa" w:w="2928"/>
            <w:shd w:val="clear" w:color="auto" w:fill="EFF6FF"/>
          </w:tcPr>
          <w:p>
            <w:r>
              <w:rPr>
                <w:sz w:val="19"/>
              </w:rPr>
              <w:t>Secreto para proteger el cron job de sync</w:t>
            </w:r>
          </w:p>
        </w:tc>
        <w:tc>
          <w:tcPr>
            <w:tcW w:type="dxa" w:w="2928"/>
            <w:shd w:val="clear" w:color="auto" w:fill="EFF6FF"/>
          </w:tcPr>
          <w:p>
            <w:r>
              <w:rPr>
                <w:sz w:val="19"/>
              </w:rPr>
              <w:t>Generar con: openssl rand -hex 32</w:t>
            </w:r>
          </w:p>
        </w:tc>
      </w:tr>
    </w:tbl>
    <w:p/>
    <w:p>
      <w:pPr>
        <w:spacing w:after="120"/>
      </w:pPr>
      <w:r>
        <w:rPr>
          <w:b/>
          <w:sz w:val="21"/>
        </w:rPr>
        <w:t>⚠️ IMPORTANTE: Nunca exponer SUPABASE_SERVICE_ROLE_KEY ni ANTHROPIC_API_KEY en el cliente.</w:t>
      </w:r>
    </w:p>
    <w:p>
      <w:pPr>
        <w:pStyle w:val="Heading2"/>
      </w:pPr>
      <w:r>
        <w:rPr>
          <w:b/>
          <w:color w:val="1D4ED8"/>
          <w:sz w:val="28"/>
        </w:rPr>
        <w:t>11.3 Proceso de Despliegue en Vercel</w:t>
      </w:r>
    </w:p>
    <w:p>
      <w:pPr>
        <w:spacing w:before="80" w:after="80"/>
        <w:ind w:left="567"/>
        <w:shd w:val="clear" w:color="auto" w:fill="F3F4F6"/>
      </w:pPr>
      <w:r>
        <w:rPr>
          <w:rFonts w:ascii="Courier New" w:hAnsi="Courier New"/>
          <w:color w:val="1A1A2E"/>
          <w:sz w:val="18"/>
        </w:rPr>
        <w:t># Opción A: Despliegue automático via GitHub</w:t>
        <w:br/>
        <w:t>1. Conectar repositorio GitHub en vercel.com/new</w:t>
        <w:br/>
        <w:t>2. Configurar Root Directory: datamate_portal</w:t>
        <w:br/>
        <w:t>3. Framework Preset: Next.js</w:t>
        <w:br/>
        <w:t>4. Agregar todas las variables de entorno</w:t>
        <w:br/>
        <w:t>5. Cada push a 'main' dispara un deploy automático</w:t>
        <w:br/>
        <w:br/>
        <w:t># Opción B: Despliegue desde CLI</w:t>
        <w:br/>
        <w:t>cd datamate_portal</w:t>
        <w:br/>
        <w:t>vercel --prod</w:t>
        <w:br/>
        <w:t>vercel env pull .env.local  # para desarrollo local</w:t>
      </w:r>
    </w:p>
    <w:p>
      <w:pPr>
        <w:pStyle w:val="Heading2"/>
      </w:pPr>
      <w:r>
        <w:rPr>
          <w:b/>
          <w:color w:val="1D4ED8"/>
          <w:sz w:val="28"/>
        </w:rPr>
        <w:t>11.4 Migraciones de Base de Datos</w:t>
      </w:r>
    </w:p>
    <w:p>
      <w:pPr>
        <w:spacing w:before="80" w:after="80"/>
        <w:ind w:left="567"/>
        <w:shd w:val="clear" w:color="auto" w:fill="F3F4F6"/>
      </w:pPr>
      <w:r>
        <w:rPr>
          <w:rFonts w:ascii="Courier New" w:hAnsi="Courier New"/>
          <w:color w:val="1A1A2E"/>
          <w:sz w:val="18"/>
        </w:rPr>
        <w:t># Aplicar migraciones a Supabase remoto:</w:t>
        <w:br/>
        <w:t>cd datamate_portal</w:t>
        <w:br/>
        <w:t>npx supabase db push --linked</w:t>
        <w:br/>
        <w:br/>
        <w:t># Verificar estado de migraciones:</w:t>
        <w:br/>
        <w:t>npx supabase migration list</w:t>
        <w:br/>
        <w:br/>
        <w:t># Refrescar vistas materializadas (después de cargar nuevos datos):</w:t>
        <w:br/>
        <w:t>SELECT desafio.refresh_all_profiles();</w:t>
        <w:br/>
        <w:t>-- Tiempo estimado: 2–5 minutos para 24.463 sostenedores</w:t>
      </w:r>
    </w:p>
    <w:p>
      <w:pPr>
        <w:pStyle w:val="Heading2"/>
      </w:pPr>
      <w:r>
        <w:rPr>
          <w:b/>
          <w:color w:val="1D4ED8"/>
          <w:sz w:val="28"/>
        </w:rPr>
        <w:t>11.5 Actualización de Datos MINEDUC</w:t>
      </w:r>
    </w:p>
    <w:p>
      <w:pPr>
        <w:spacing w:after="120"/>
      </w:pPr>
      <w:r>
        <w:rPr>
          <w:sz w:val="21"/>
        </w:rPr>
        <w:t>Cuando MINEDUC publique nuevos datos (típicamente enero de cada año):</w:t>
      </w:r>
    </w:p>
    <w:p>
      <w:pPr>
        <w:pStyle w:val="ListBullet"/>
        <w:spacing w:after="60"/>
      </w:pPr>
      <w:r>
        <w:rPr>
          <w:sz w:val="21"/>
        </w:rPr>
        <w:t>Descargar nuevos archivos .rar desde datosabiertos.mineduc.cl</w:t>
      </w:r>
    </w:p>
    <w:p>
      <w:pPr>
        <w:pStyle w:val="ListBullet"/>
        <w:spacing w:after="60"/>
      </w:pPr>
      <w:r>
        <w:rPr>
          <w:sz w:val="21"/>
        </w:rPr>
        <w:t>Ejecutar el script ETL: python3 mineduc_data/process.py</w:t>
      </w:r>
    </w:p>
    <w:p>
      <w:pPr>
        <w:pStyle w:val="ListBullet"/>
        <w:spacing w:after="60"/>
      </w:pPr>
      <w:r>
        <w:rPr>
          <w:sz w:val="21"/>
        </w:rPr>
        <w:t>Cargar CSVs generados a Supabase (tablas public.mineduc_*)</w:t>
      </w:r>
    </w:p>
    <w:p>
      <w:pPr>
        <w:pStyle w:val="ListBullet"/>
        <w:spacing w:after="60"/>
      </w:pPr>
      <w:r>
        <w:rPr>
          <w:sz w:val="21"/>
        </w:rPr>
        <w:t>Ejecutar REFRESH en mv_sostenedor_profile para recalcular indicadores</w:t>
      </w:r>
    </w:p>
    <w:p>
      <w:pPr>
        <w:pStyle w:val="ListBullet"/>
        <w:spacing w:after="60"/>
      </w:pPr>
      <w:r>
        <w:rPr>
          <w:sz w:val="21"/>
        </w:rPr>
        <w:t>Verificar cobertura con: SELECT COUNT(*) FROM mineduc_matricula WHERE agno = 2025</w:t>
      </w:r>
    </w:p>
    <w:p>
      <w:r>
        <w:br w:type="page"/>
      </w:r>
    </w:p>
    <w:p>
      <w:pPr>
        <w:pStyle w:val="Heading1"/>
      </w:pPr>
      <w:r>
        <w:rPr>
          <w:b/>
          <w:color w:val="1E40AF"/>
          <w:sz w:val="36"/>
        </w:rPr>
        <w:t>12. Guía de Configuración</w:t>
      </w:r>
    </w:p>
    <w:p>
      <w:pPr>
        <w:pStyle w:val="Heading2"/>
      </w:pPr>
      <w:r>
        <w:rPr>
          <w:b/>
          <w:color w:val="1D4ED8"/>
          <w:sz w:val="28"/>
        </w:rPr>
        <w:t>12.1 Requisitos</w:t>
      </w:r>
    </w:p>
    <w:p>
      <w:pPr>
        <w:pStyle w:val="ListBullet"/>
        <w:spacing w:after="60"/>
      </w:pPr>
      <w:r>
        <w:rPr>
          <w:sz w:val="21"/>
        </w:rPr>
        <w:t>Node.js &gt;= 20.x</w:t>
      </w:r>
    </w:p>
    <w:p>
      <w:pPr>
        <w:pStyle w:val="ListBullet"/>
        <w:spacing w:after="60"/>
      </w:pPr>
      <w:r>
        <w:rPr>
          <w:sz w:val="21"/>
        </w:rPr>
        <w:t>npm &gt;= 9.x</w:t>
      </w:r>
    </w:p>
    <w:p>
      <w:pPr>
        <w:pStyle w:val="ListBullet"/>
        <w:spacing w:after="60"/>
      </w:pPr>
      <w:r>
        <w:rPr>
          <w:sz w:val="21"/>
        </w:rPr>
        <w:t>Python &gt;= 3.11 (para ETL MINEDUC)</w:t>
      </w:r>
    </w:p>
    <w:p>
      <w:pPr>
        <w:pStyle w:val="ListBullet"/>
        <w:spacing w:after="60"/>
      </w:pPr>
      <w:r>
        <w:rPr>
          <w:sz w:val="21"/>
        </w:rPr>
        <w:t>Cuenta Supabase con proyecto activo</w:t>
      </w:r>
    </w:p>
    <w:p>
      <w:pPr>
        <w:pStyle w:val="ListBullet"/>
        <w:spacing w:after="60"/>
      </w:pPr>
      <w:r>
        <w:rPr>
          <w:sz w:val="21"/>
        </w:rPr>
        <w:t>API Key de Anthropic (Claude)</w:t>
      </w:r>
    </w:p>
    <w:p>
      <w:pPr>
        <w:pStyle w:val="Heading2"/>
      </w:pPr>
      <w:r>
        <w:rPr>
          <w:b/>
          <w:color w:val="1D4ED8"/>
          <w:sz w:val="28"/>
        </w:rPr>
        <w:t>12.2 Instalación Local</w:t>
      </w:r>
    </w:p>
    <w:p>
      <w:pPr>
        <w:spacing w:before="80" w:after="80"/>
        <w:ind w:left="567"/>
        <w:shd w:val="clear" w:color="auto" w:fill="F3F4F6"/>
      </w:pPr>
      <w:r>
        <w:rPr>
          <w:rFonts w:ascii="Courier New" w:hAnsi="Courier New"/>
          <w:color w:val="1A1A2E"/>
          <w:sz w:val="18"/>
        </w:rPr>
        <w:t># 1. Clonar repositorio</w:t>
        <w:br/>
        <w:t>git clone https://github.com/rudycelekli/encompass-portal.git</w:t>
        <w:br/>
        <w:t>cd encompass-portal/datamate_portal</w:t>
        <w:br/>
        <w:br/>
        <w:t># 2. Instalar dependencias</w:t>
        <w:br/>
        <w:t>npm install</w:t>
        <w:br/>
        <w:br/>
        <w:t># 3. Configurar variables de entorno</w:t>
        <w:br/>
        <w:t>cp .env.local.example .env.local</w:t>
        <w:br/>
        <w:t># Editar .env.local con tus credenciales</w:t>
        <w:br/>
        <w:br/>
        <w:t># 4. Aplicar migraciones</w:t>
        <w:br/>
        <w:t>npx supabase link --project-ref TU_PROJECT_REF</w:t>
        <w:br/>
        <w:t>npx supabase db push --linked</w:t>
        <w:br/>
        <w:br/>
        <w:t># 5. Iniciar servidor de desarrollo</w:t>
        <w:br/>
        <w:t>npm run dev</w:t>
        <w:br/>
        <w:t># Portal disponible en http://localhost:3000</w:t>
      </w:r>
    </w:p>
    <w:p>
      <w:pPr>
        <w:pStyle w:val="Heading2"/>
      </w:pPr>
      <w:r>
        <w:rPr>
          <w:b/>
          <w:color w:val="1D4ED8"/>
          <w:sz w:val="28"/>
        </w:rPr>
        <w:t>12.3 Verificación Post-Despliegue</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E40AF"/>
          </w:tcPr>
          <w:p>
            <w:pPr>
              <w:jc w:val="center"/>
            </w:pPr>
            <w:r>
              <w:rPr>
                <w:b/>
                <w:color w:val="FFFFFF"/>
                <w:sz w:val="19"/>
              </w:rPr>
              <w:t>Check</w:t>
            </w:r>
          </w:p>
        </w:tc>
        <w:tc>
          <w:tcPr>
            <w:tcW w:type="dxa" w:w="2928"/>
            <w:shd w:val="clear" w:color="auto" w:fill="1E40AF"/>
          </w:tcPr>
          <w:p>
            <w:pPr>
              <w:jc w:val="center"/>
            </w:pPr>
            <w:r>
              <w:rPr>
                <w:b/>
                <w:color w:val="FFFFFF"/>
                <w:sz w:val="19"/>
              </w:rPr>
              <w:t>URL / Comando</w:t>
            </w:r>
          </w:p>
        </w:tc>
        <w:tc>
          <w:tcPr>
            <w:tcW w:type="dxa" w:w="2928"/>
            <w:shd w:val="clear" w:color="auto" w:fill="1E40AF"/>
          </w:tcPr>
          <w:p>
            <w:pPr>
              <w:jc w:val="center"/>
            </w:pPr>
            <w:r>
              <w:rPr>
                <w:b/>
                <w:color w:val="FFFFFF"/>
                <w:sz w:val="19"/>
              </w:rPr>
              <w:t>Resultado Esperado</w:t>
            </w:r>
          </w:p>
        </w:tc>
      </w:tr>
      <w:tr>
        <w:tc>
          <w:tcPr>
            <w:tcW w:type="dxa" w:w="2928"/>
            <w:shd w:val="clear" w:color="auto" w:fill="EFF6FF"/>
          </w:tcPr>
          <w:p>
            <w:r>
              <w:rPr>
                <w:sz w:val="19"/>
              </w:rPr>
              <w:t>Portal carga</w:t>
            </w:r>
          </w:p>
        </w:tc>
        <w:tc>
          <w:tcPr>
            <w:tcW w:type="dxa" w:w="2928"/>
            <w:shd w:val="clear" w:color="auto" w:fill="EFF6FF"/>
          </w:tcPr>
          <w:p>
            <w:r>
              <w:rPr>
                <w:sz w:val="19"/>
              </w:rPr>
              <w:t>GET /</w:t>
            </w:r>
          </w:p>
        </w:tc>
        <w:tc>
          <w:tcPr>
            <w:tcW w:type="dxa" w:w="2928"/>
            <w:shd w:val="clear" w:color="auto" w:fill="EFF6FF"/>
          </w:tcPr>
          <w:p>
            <w:r>
              <w:rPr>
                <w:sz w:val="19"/>
              </w:rPr>
              <w:t>Redirect a /sostenedor con lista de sostenedores</w:t>
            </w:r>
          </w:p>
        </w:tc>
      </w:tr>
      <w:tr>
        <w:tc>
          <w:tcPr>
            <w:tcW w:type="dxa" w:w="2928"/>
            <w:shd w:val="clear" w:color="auto" w:fill="FFFFFF"/>
          </w:tcPr>
          <w:p>
            <w:r>
              <w:rPr>
                <w:sz w:val="19"/>
              </w:rPr>
              <w:t>Supabase conectado</w:t>
            </w:r>
          </w:p>
        </w:tc>
        <w:tc>
          <w:tcPr>
            <w:tcW w:type="dxa" w:w="2928"/>
            <w:shd w:val="clear" w:color="auto" w:fill="FFFFFF"/>
          </w:tcPr>
          <w:p>
            <w:r>
              <w:rPr>
                <w:sz w:val="19"/>
              </w:rPr>
              <w:t>GET /api/pipeline/stats</w:t>
            </w:r>
          </w:p>
        </w:tc>
        <w:tc>
          <w:tcPr>
            <w:tcW w:type="dxa" w:w="2928"/>
            <w:shd w:val="clear" w:color="auto" w:fill="FFFFFF"/>
          </w:tcPr>
          <w:p>
            <w:r>
              <w:rPr>
                <w:sz w:val="19"/>
              </w:rPr>
              <w:t>JSON con totalRows &gt; 0</w:t>
            </w:r>
          </w:p>
        </w:tc>
      </w:tr>
      <w:tr>
        <w:tc>
          <w:tcPr>
            <w:tcW w:type="dxa" w:w="2928"/>
            <w:shd w:val="clear" w:color="auto" w:fill="EFF6FF"/>
          </w:tcPr>
          <w:p>
            <w:r>
              <w:rPr>
                <w:sz w:val="19"/>
              </w:rPr>
              <w:t>Risk flags</w:t>
            </w:r>
          </w:p>
        </w:tc>
        <w:tc>
          <w:tcPr>
            <w:tcW w:type="dxa" w:w="2928"/>
            <w:shd w:val="clear" w:color="auto" w:fill="EFF6FF"/>
          </w:tcPr>
          <w:p>
            <w:r>
              <w:rPr>
                <w:sz w:val="19"/>
              </w:rPr>
              <w:t>GET /api/intelligence/risk-flags</w:t>
            </w:r>
          </w:p>
        </w:tc>
        <w:tc>
          <w:tcPr>
            <w:tcW w:type="dxa" w:w="2928"/>
            <w:shd w:val="clear" w:color="auto" w:fill="EFF6FF"/>
          </w:tcPr>
          <w:p>
            <w:r>
              <w:rPr>
                <w:sz w:val="19"/>
              </w:rPr>
              <w:t>JSON con flaggedSostenedores</w:t>
            </w:r>
          </w:p>
        </w:tc>
      </w:tr>
      <w:tr>
        <w:tc>
          <w:tcPr>
            <w:tcW w:type="dxa" w:w="2928"/>
            <w:shd w:val="clear" w:color="auto" w:fill="FFFFFF"/>
          </w:tcPr>
          <w:p>
            <w:r>
              <w:rPr>
                <w:sz w:val="19"/>
              </w:rPr>
              <w:t>MINEDUC data</w:t>
            </w:r>
          </w:p>
        </w:tc>
        <w:tc>
          <w:tcPr>
            <w:tcW w:type="dxa" w:w="2928"/>
            <w:shd w:val="clear" w:color="auto" w:fill="FFFFFF"/>
          </w:tcPr>
          <w:p>
            <w:r>
              <w:rPr>
                <w:sz w:val="19"/>
              </w:rPr>
              <w:t>GET /api/sostenedor/mineduc?sost_id=50648150</w:t>
            </w:r>
          </w:p>
        </w:tc>
        <w:tc>
          <w:tcPr>
            <w:tcW w:type="dxa" w:w="2928"/>
            <w:shd w:val="clear" w:color="auto" w:fill="FFFFFF"/>
          </w:tcPr>
          <w:p>
            <w:r>
              <w:rPr>
                <w:sz w:val="19"/>
              </w:rPr>
              <w:t>has_mineduc_data: true</w:t>
            </w:r>
          </w:p>
        </w:tc>
      </w:tr>
      <w:tr>
        <w:tc>
          <w:tcPr>
            <w:tcW w:type="dxa" w:w="2928"/>
            <w:shd w:val="clear" w:color="auto" w:fill="EFF6FF"/>
          </w:tcPr>
          <w:p>
            <w:r>
              <w:rPr>
                <w:sz w:val="19"/>
              </w:rPr>
              <w:t>IA funcionando</w:t>
            </w:r>
          </w:p>
        </w:tc>
        <w:tc>
          <w:tcPr>
            <w:tcW w:type="dxa" w:w="2928"/>
            <w:shd w:val="clear" w:color="auto" w:fill="EFF6FF"/>
          </w:tcPr>
          <w:p>
            <w:r>
              <w:rPr>
                <w:sz w:val="19"/>
              </w:rPr>
              <w:t>POST /api/sostenedor/analyze</w:t>
            </w:r>
          </w:p>
        </w:tc>
        <w:tc>
          <w:tcPr>
            <w:tcW w:type="dxa" w:w="2928"/>
            <w:shd w:val="clear" w:color="auto" w:fill="EFF6FF"/>
          </w:tcPr>
          <w:p>
            <w:r>
              <w:rPr>
                <w:sz w:val="19"/>
              </w:rPr>
              <w:t>Stream de texto con análisis</w:t>
            </w:r>
          </w:p>
        </w:tc>
      </w:tr>
      <w:tr>
        <w:tc>
          <w:tcPr>
            <w:tcW w:type="dxa" w:w="2928"/>
            <w:shd w:val="clear" w:color="auto" w:fill="FFFFFF"/>
          </w:tcPr>
          <w:p>
            <w:r>
              <w:rPr>
                <w:sz w:val="19"/>
              </w:rPr>
              <w:t>TypeScript OK</w:t>
            </w:r>
          </w:p>
        </w:tc>
        <w:tc>
          <w:tcPr>
            <w:tcW w:type="dxa" w:w="2928"/>
            <w:shd w:val="clear" w:color="auto" w:fill="FFFFFF"/>
          </w:tcPr>
          <w:p>
            <w:r>
              <w:rPr>
                <w:sz w:val="19"/>
              </w:rPr>
              <w:t>npx tsc --noEmit</w:t>
            </w:r>
          </w:p>
        </w:tc>
        <w:tc>
          <w:tcPr>
            <w:tcW w:type="dxa" w:w="2928"/>
            <w:shd w:val="clear" w:color="auto" w:fill="FFFFFF"/>
          </w:tcPr>
          <w:p>
            <w:r>
              <w:rPr>
                <w:sz w:val="19"/>
              </w:rPr>
              <w:t>Sin errores</w:t>
            </w:r>
          </w:p>
        </w:tc>
      </w:tr>
      <w:tr>
        <w:tc>
          <w:tcPr>
            <w:tcW w:type="dxa" w:w="2928"/>
            <w:shd w:val="clear" w:color="auto" w:fill="EFF6FF"/>
          </w:tcPr>
          <w:p>
            <w:r>
              <w:rPr>
                <w:sz w:val="19"/>
              </w:rPr>
              <w:t>Build OK</w:t>
            </w:r>
          </w:p>
        </w:tc>
        <w:tc>
          <w:tcPr>
            <w:tcW w:type="dxa" w:w="2928"/>
            <w:shd w:val="clear" w:color="auto" w:fill="EFF6FF"/>
          </w:tcPr>
          <w:p>
            <w:r>
              <w:rPr>
                <w:sz w:val="19"/>
              </w:rPr>
              <w:t>npm run build</w:t>
            </w:r>
          </w:p>
        </w:tc>
        <w:tc>
          <w:tcPr>
            <w:tcW w:type="dxa" w:w="2928"/>
            <w:shd w:val="clear" w:color="auto" w:fill="EFF6FF"/>
          </w:tcPr>
          <w:p>
            <w:r>
              <w:rPr>
                <w:sz w:val="19"/>
              </w:rPr>
              <w:t>✓ Compiled successfully</w:t>
            </w:r>
          </w:p>
        </w:tc>
      </w:tr>
    </w:tbl>
    <w:p/>
    <w:p>
      <w:pPr>
        <w:pStyle w:val="Heading2"/>
      </w:pPr>
      <w:r>
        <w:rPr>
          <w:b/>
          <w:color w:val="1D4ED8"/>
          <w:sz w:val="28"/>
        </w:rPr>
        <w:t>12.4 Mantenimiento y Monitoreo</w:t>
      </w:r>
    </w:p>
    <w:p>
      <w:pPr>
        <w:pStyle w:val="ListBullet"/>
        <w:spacing w:after="60"/>
      </w:pPr>
      <w:r>
        <w:rPr>
          <w:sz w:val="21"/>
        </w:rPr>
        <w:t>Logs de errores: Vercel Dashboard → Functions → Logs</w:t>
      </w:r>
    </w:p>
    <w:p>
      <w:pPr>
        <w:pStyle w:val="ListBullet"/>
        <w:spacing w:after="60"/>
      </w:pPr>
      <w:r>
        <w:rPr>
          <w:sz w:val="21"/>
        </w:rPr>
        <w:t>Uso de la base de datos: Supabase Dashboard → Database → Logs</w:t>
      </w:r>
    </w:p>
    <w:p>
      <w:pPr>
        <w:pStyle w:val="ListBullet"/>
        <w:spacing w:after="60"/>
      </w:pPr>
      <w:r>
        <w:rPr>
          <w:sz w:val="21"/>
        </w:rPr>
        <w:t>Uso de tokens IA: console.anthropic.com → Usage</w:t>
      </w:r>
    </w:p>
    <w:p>
      <w:pPr>
        <w:pStyle w:val="ListBullet"/>
        <w:spacing w:after="60"/>
      </w:pPr>
      <w:r>
        <w:rPr>
          <w:sz w:val="21"/>
        </w:rPr>
        <w:t>Refresh de vistas materializadas: mensual o al cargar nuevos datos</w:t>
      </w:r>
    </w:p>
    <w:p>
      <w:pPr>
        <w:pStyle w:val="ListBullet"/>
        <w:spacing w:after="60"/>
      </w:pPr>
      <w:r>
        <w:rPr>
          <w:sz w:val="21"/>
        </w:rPr>
        <w:t>Actualización MINEDUC: anual (enero, cuando MINEDUC publica datos del año anterior)</w:t>
      </w:r>
    </w:p>
    <w:p>
      <w:r>
        <w:br w:type="page"/>
      </w:r>
    </w:p>
    <w:p>
      <w:pPr>
        <w:pStyle w:val="Heading1"/>
      </w:pPr>
      <w:r>
        <w:rPr>
          <w:b/>
          <w:color w:val="1E40AF"/>
          <w:sz w:val="36"/>
        </w:rPr>
        <w:t>Apéndice: Glosario</w:t>
      </w:r>
    </w:p>
    <w:tbl>
      <w:tblPr>
        <w:tblStyle w:val="TableGrid"/>
        <w:tblW w:type="auto" w:w="0"/>
        <w:tblLook w:firstColumn="1" w:firstRow="1" w:lastColumn="0" w:lastRow="0" w:noHBand="0" w:noVBand="1" w:val="04A0"/>
      </w:tblPr>
      <w:tblGrid>
        <w:gridCol w:w="4392"/>
        <w:gridCol w:w="4392"/>
      </w:tblGrid>
      <w:tr>
        <w:tc>
          <w:tcPr>
            <w:tcW w:type="dxa" w:w="4392"/>
            <w:shd w:val="clear" w:color="auto" w:fill="1E40AF"/>
          </w:tcPr>
          <w:p>
            <w:pPr>
              <w:jc w:val="center"/>
            </w:pPr>
            <w:r>
              <w:rPr>
                <w:b/>
                <w:color w:val="FFFFFF"/>
                <w:sz w:val="19"/>
              </w:rPr>
              <w:t>Término</w:t>
            </w:r>
          </w:p>
        </w:tc>
        <w:tc>
          <w:tcPr>
            <w:tcW w:type="dxa" w:w="4392"/>
            <w:shd w:val="clear" w:color="auto" w:fill="1E40AF"/>
          </w:tcPr>
          <w:p>
            <w:pPr>
              <w:jc w:val="center"/>
            </w:pPr>
            <w:r>
              <w:rPr>
                <w:b/>
                <w:color w:val="FFFFFF"/>
                <w:sz w:val="19"/>
              </w:rPr>
              <w:t>Definición</w:t>
            </w:r>
          </w:p>
        </w:tc>
      </w:tr>
      <w:tr>
        <w:tc>
          <w:tcPr>
            <w:tcW w:type="dxa" w:w="4392"/>
            <w:shd w:val="clear" w:color="auto" w:fill="EFF6FF"/>
          </w:tcPr>
          <w:p>
            <w:r>
              <w:rPr>
                <w:sz w:val="19"/>
              </w:rPr>
              <w:t>SIE</w:t>
            </w:r>
          </w:p>
        </w:tc>
        <w:tc>
          <w:tcPr>
            <w:tcW w:type="dxa" w:w="4392"/>
            <w:shd w:val="clear" w:color="auto" w:fill="EFF6FF"/>
          </w:tcPr>
          <w:p>
            <w:r>
              <w:rPr>
                <w:sz w:val="19"/>
              </w:rPr>
              <w:t>Superintendencia de Educación — entidad fiscalizadora del sistema educacional subvencionado de Chile</w:t>
            </w:r>
          </w:p>
        </w:tc>
      </w:tr>
      <w:tr>
        <w:tc>
          <w:tcPr>
            <w:tcW w:type="dxa" w:w="4392"/>
            <w:shd w:val="clear" w:color="auto" w:fill="FFFFFF"/>
          </w:tcPr>
          <w:p>
            <w:r>
              <w:rPr>
                <w:sz w:val="19"/>
              </w:rPr>
              <w:t>Sostenedor</w:t>
            </w:r>
          </w:p>
        </w:tc>
        <w:tc>
          <w:tcPr>
            <w:tcW w:type="dxa" w:w="4392"/>
            <w:shd w:val="clear" w:color="auto" w:fill="FFFFFF"/>
          </w:tcPr>
          <w:p>
            <w:r>
              <w:rPr>
                <w:sz w:val="19"/>
              </w:rPr>
              <w:t>Persona jurídica o natural que administra uno o más establecimientos educacionales subvencionados</w:t>
            </w:r>
          </w:p>
        </w:tc>
      </w:tr>
      <w:tr>
        <w:tc>
          <w:tcPr>
            <w:tcW w:type="dxa" w:w="4392"/>
            <w:shd w:val="clear" w:color="auto" w:fill="EFF6FF"/>
          </w:tcPr>
          <w:p>
            <w:r>
              <w:rPr>
                <w:sz w:val="19"/>
              </w:rPr>
              <w:t>MINEDUC</w:t>
            </w:r>
          </w:p>
        </w:tc>
        <w:tc>
          <w:tcPr>
            <w:tcW w:type="dxa" w:w="4392"/>
            <w:shd w:val="clear" w:color="auto" w:fill="EFF6FF"/>
          </w:tcPr>
          <w:p>
            <w:r>
              <w:rPr>
                <w:sz w:val="19"/>
              </w:rPr>
              <w:t>Ministerio de Educación de Chile</w:t>
            </w:r>
          </w:p>
        </w:tc>
      </w:tr>
      <w:tr>
        <w:tc>
          <w:tcPr>
            <w:tcW w:type="dxa" w:w="4392"/>
            <w:shd w:val="clear" w:color="auto" w:fill="FFFFFF"/>
          </w:tcPr>
          <w:p>
            <w:r>
              <w:rPr>
                <w:sz w:val="19"/>
              </w:rPr>
              <w:t>SNED</w:t>
            </w:r>
          </w:p>
        </w:tc>
        <w:tc>
          <w:tcPr>
            <w:tcW w:type="dxa" w:w="4392"/>
            <w:shd w:val="clear" w:color="auto" w:fill="FFFFFF"/>
          </w:tcPr>
          <w:p>
            <w:r>
              <w:rPr>
                <w:sz w:val="19"/>
              </w:rPr>
              <w:t>Sistema Nacional de Evaluación del Desempeño — índice bienal de calidad educativa por establecimiento</w:t>
            </w:r>
          </w:p>
        </w:tc>
      </w:tr>
      <w:tr>
        <w:tc>
          <w:tcPr>
            <w:tcW w:type="dxa" w:w="4392"/>
            <w:shd w:val="clear" w:color="auto" w:fill="EFF6FF"/>
          </w:tcPr>
          <w:p>
            <w:r>
              <w:rPr>
                <w:sz w:val="19"/>
              </w:rPr>
              <w:t>HHI</w:t>
            </w:r>
          </w:p>
        </w:tc>
        <w:tc>
          <w:tcPr>
            <w:tcW w:type="dxa" w:w="4392"/>
            <w:shd w:val="clear" w:color="auto" w:fill="EFF6FF"/>
          </w:tcPr>
          <w:p>
            <w:r>
              <w:rPr>
                <w:sz w:val="19"/>
              </w:rPr>
              <w:t>Índice Herfindahl-Hirschman — medida de concentración de ingresos (0 = diversificado, 1 = monopolio)</w:t>
            </w:r>
          </w:p>
        </w:tc>
      </w:tr>
      <w:tr>
        <w:tc>
          <w:tcPr>
            <w:tcW w:type="dxa" w:w="4392"/>
            <w:shd w:val="clear" w:color="auto" w:fill="FFFFFF"/>
          </w:tcPr>
          <w:p>
            <w:r>
              <w:rPr>
                <w:sz w:val="19"/>
              </w:rPr>
              <w:t>OLS</w:t>
            </w:r>
          </w:p>
        </w:tc>
        <w:tc>
          <w:tcPr>
            <w:tcW w:type="dxa" w:w="4392"/>
            <w:shd w:val="clear" w:color="auto" w:fill="FFFFFF"/>
          </w:tcPr>
          <w:p>
            <w:r>
              <w:rPr>
                <w:sz w:val="19"/>
              </w:rPr>
              <w:t>Ordinary Least Squares (Mínimos Cuadrados Ordinarios) — método de regresión lineal para proyecciones</w:t>
            </w:r>
          </w:p>
        </w:tc>
      </w:tr>
      <w:tr>
        <w:tc>
          <w:tcPr>
            <w:tcW w:type="dxa" w:w="4392"/>
            <w:shd w:val="clear" w:color="auto" w:fill="EFF6FF"/>
          </w:tcPr>
          <w:p>
            <w:r>
              <w:rPr>
                <w:sz w:val="19"/>
              </w:rPr>
              <w:t>GNA</w:t>
            </w:r>
          </w:p>
        </w:tc>
        <w:tc>
          <w:tcPr>
            <w:tcW w:type="dxa" w:w="4392"/>
            <w:shd w:val="clear" w:color="auto" w:fill="EFF6FF"/>
          </w:tcPr>
          <w:p>
            <w:r>
              <w:rPr>
                <w:sz w:val="19"/>
              </w:rPr>
              <w:t>Gastos No Aceptados — gastos rechazados o no aprobados por la Superintendencia</w:t>
            </w:r>
          </w:p>
        </w:tc>
      </w:tr>
      <w:tr>
        <w:tc>
          <w:tcPr>
            <w:tcW w:type="dxa" w:w="4392"/>
            <w:shd w:val="clear" w:color="auto" w:fill="FFFFFF"/>
          </w:tcPr>
          <w:p>
            <w:r>
              <w:rPr>
                <w:sz w:val="19"/>
              </w:rPr>
              <w:t>Risk Score</w:t>
            </w:r>
          </w:p>
        </w:tc>
        <w:tc>
          <w:tcPr>
            <w:tcW w:type="dxa" w:w="4392"/>
            <w:shd w:val="clear" w:color="auto" w:fill="FFFFFF"/>
          </w:tcPr>
          <w:p>
            <w:r>
              <w:rPr>
                <w:sz w:val="19"/>
              </w:rPr>
              <w:t>Puntaje 0–100 que resume el nivel de riesgo financiero de un sostenedor</w:t>
            </w:r>
          </w:p>
        </w:tc>
      </w:tr>
      <w:tr>
        <w:tc>
          <w:tcPr>
            <w:tcW w:type="dxa" w:w="4392"/>
            <w:shd w:val="clear" w:color="auto" w:fill="EFF6FF"/>
          </w:tcPr>
          <w:p>
            <w:r>
              <w:rPr>
                <w:sz w:val="19"/>
              </w:rPr>
              <w:t>RUT</w:t>
            </w:r>
          </w:p>
        </w:tc>
        <w:tc>
          <w:tcPr>
            <w:tcW w:type="dxa" w:w="4392"/>
            <w:shd w:val="clear" w:color="auto" w:fill="EFF6FF"/>
          </w:tcPr>
          <w:p>
            <w:r>
              <w:rPr>
                <w:sz w:val="19"/>
              </w:rPr>
              <w:t>Rol Único Tributario — identificador fiscal chileno (usado como clave de join entre sistemas)</w:t>
            </w:r>
          </w:p>
        </w:tc>
      </w:tr>
      <w:tr>
        <w:tc>
          <w:tcPr>
            <w:tcW w:type="dxa" w:w="4392"/>
            <w:shd w:val="clear" w:color="auto" w:fill="FFFFFF"/>
          </w:tcPr>
          <w:p>
            <w:r>
              <w:rPr>
                <w:sz w:val="19"/>
              </w:rPr>
              <w:t>RBD</w:t>
            </w:r>
          </w:p>
        </w:tc>
        <w:tc>
          <w:tcPr>
            <w:tcW w:type="dxa" w:w="4392"/>
            <w:shd w:val="clear" w:color="auto" w:fill="FFFFFF"/>
          </w:tcPr>
          <w:p>
            <w:r>
              <w:rPr>
                <w:sz w:val="19"/>
              </w:rPr>
              <w:t>Rol Base de Datos — identificador de establecimientos educacionales del MINEDUC</w:t>
            </w:r>
          </w:p>
        </w:tc>
      </w:tr>
      <w:tr>
        <w:tc>
          <w:tcPr>
            <w:tcW w:type="dxa" w:w="4392"/>
            <w:shd w:val="clear" w:color="auto" w:fill="EFF6FF"/>
          </w:tcPr>
          <w:p>
            <w:r>
              <w:rPr>
                <w:sz w:val="19"/>
              </w:rPr>
              <w:t>Vista Materializada</w:t>
            </w:r>
          </w:p>
        </w:tc>
        <w:tc>
          <w:tcPr>
            <w:tcW w:type="dxa" w:w="4392"/>
            <w:shd w:val="clear" w:color="auto" w:fill="EFF6FF"/>
          </w:tcPr>
          <w:p>
            <w:r>
              <w:rPr>
                <w:sz w:val="19"/>
              </w:rPr>
              <w:t>Tabla PostgreSQL precalculada que almacena resultados de una consulta compleja para acceso rápido</w:t>
            </w:r>
          </w:p>
        </w:tc>
      </w:tr>
      <w:tr>
        <w:tc>
          <w:tcPr>
            <w:tcW w:type="dxa" w:w="4392"/>
            <w:shd w:val="clear" w:color="auto" w:fill="FFFFFF"/>
          </w:tcPr>
          <w:p>
            <w:r>
              <w:rPr>
                <w:sz w:val="19"/>
              </w:rPr>
              <w:t>SSE</w:t>
            </w:r>
          </w:p>
        </w:tc>
        <w:tc>
          <w:tcPr>
            <w:tcW w:type="dxa" w:w="4392"/>
            <w:shd w:val="clear" w:color="auto" w:fill="FFFFFF"/>
          </w:tcPr>
          <w:p>
            <w:r>
              <w:rPr>
                <w:sz w:val="19"/>
              </w:rPr>
              <w:t>Server-Sent Events — tecnología web para streaming unidireccional servidor → cliente</w:t>
            </w:r>
          </w:p>
        </w:tc>
      </w:tr>
      <w:tr>
        <w:tc>
          <w:tcPr>
            <w:tcW w:type="dxa" w:w="4392"/>
            <w:shd w:val="clear" w:color="auto" w:fill="EFF6FF"/>
          </w:tcPr>
          <w:p>
            <w:r>
              <w:rPr>
                <w:sz w:val="19"/>
              </w:rPr>
              <w:t>ETL</w:t>
            </w:r>
          </w:p>
        </w:tc>
        <w:tc>
          <w:tcPr>
            <w:tcW w:type="dxa" w:w="4392"/>
            <w:shd w:val="clear" w:color="auto" w:fill="EFF6FF"/>
          </w:tcPr>
          <w:p>
            <w:r>
              <w:rPr>
                <w:sz w:val="19"/>
              </w:rPr>
              <w:t>Extract, Transform, Load — proceso de extracción, transformación y carga de datos</w:t>
            </w:r>
          </w:p>
        </w:tc>
      </w:tr>
      <w:tr>
        <w:tc>
          <w:tcPr>
            <w:tcW w:type="dxa" w:w="4392"/>
            <w:shd w:val="clear" w:color="auto" w:fill="FFFFFF"/>
          </w:tcPr>
          <w:p>
            <w:r>
              <w:rPr>
                <w:sz w:val="19"/>
              </w:rPr>
              <w:t>TTL</w:t>
            </w:r>
          </w:p>
        </w:tc>
        <w:tc>
          <w:tcPr>
            <w:tcW w:type="dxa" w:w="4392"/>
            <w:shd w:val="clear" w:color="auto" w:fill="FFFFFF"/>
          </w:tcPr>
          <w:p>
            <w:r>
              <w:rPr>
                <w:sz w:val="19"/>
              </w:rPr>
              <w:t>Time To Live — tiempo de vida de un dato en caché antes de considerarse obsoleto</w:t>
            </w:r>
          </w:p>
        </w:tc>
      </w:tr>
    </w:tbl>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