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964"/>
          <w:sz w:val="56"/>
        </w:rPr>
        <w:t>DataMate Edu</w:t>
      </w:r>
    </w:p>
    <w:p>
      <w:pPr>
        <w:jc w:val="center"/>
      </w:pPr>
      <w:r>
        <w:rPr>
          <w:b/>
          <w:color w:val="1F3964"/>
          <w:sz w:val="44"/>
        </w:rPr>
        <w:t>Guía del Usuario</w:t>
      </w:r>
    </w:p>
    <w:p/>
    <w:p>
      <w:pPr>
        <w:jc w:val="center"/>
      </w:pPr>
      <w:r>
        <w:rPr>
          <w:color w:val="444444"/>
          <w:sz w:val="28"/>
        </w:rPr>
        <w:t>Portal de Inteligencia Financiera</w:t>
        <w:br/>
        <w:t>para la Superintendencia de Educación de Chile</w:t>
      </w:r>
    </w:p>
    <w:p/>
    <w:p/>
    <w:p>
      <w:pPr>
        <w:jc w:val="center"/>
      </w:pPr>
      <w:r>
        <w:rPr>
          <w:sz w:val="24"/>
        </w:rPr>
        <w:t>Versión 1.0 — Abril 2026</w:t>
      </w:r>
    </w:p>
    <w:p>
      <w:r>
        <w:br w:type="page"/>
      </w:r>
    </w:p>
    <w:p>
      <w:pPr>
        <w:pStyle w:val="Heading1"/>
        <w:jc w:val="left"/>
      </w:pPr>
      <w:r>
        <w:rPr>
          <w:color w:val="1F3964"/>
        </w:rPr>
        <w:t>1. Introducción</w:t>
      </w:r>
    </w:p>
    <w:p>
      <w:r>
        <w:rPr>
          <w:b w:val="0"/>
          <w:sz w:val="22"/>
        </w:rPr>
        <w:t>DataMate Edu es el portal de inteligencia financiera de la Superintendencia de Educación de Chile (SdE). Consolida datos de planillas de remuneraciones, estados financieros y balances de los sostenedores educacionales del país, y los transforma en alertas tempranas, análisis de riesgo y contexto para el equipo fiscalizador.</w:t>
      </w:r>
    </w:p>
    <w:p/>
    <w:p>
      <w:r>
        <w:rPr>
          <w:b w:val="0"/>
          <w:sz w:val="22"/>
        </w:rPr>
        <w:t>El portal ofrece:</w:t>
      </w:r>
    </w:p>
    <w:p>
      <w:pPr>
        <w:pStyle w:val="ListBullet"/>
      </w:pPr>
      <w:r>
        <w:rPr>
          <w:sz w:val="21"/>
        </w:rPr>
        <w:t>Perfiles Fiscales — análisis financiero por sostenedor con indicadores de riesgo calculados en tiempo real.</w:t>
      </w:r>
    </w:p>
    <w:p>
      <w:pPr>
        <w:pStyle w:val="ListBullet"/>
      </w:pPr>
      <w:r>
        <w:rPr>
          <w:sz w:val="21"/>
        </w:rPr>
        <w:t>Inteligencia — vista agregada de todos los sostenedores con filtros avanzados, ranking y análisis estratégico IA.</w:t>
      </w:r>
    </w:p>
    <w:p>
      <w:pPr>
        <w:pStyle w:val="ListBullet"/>
      </w:pPr>
      <w:r>
        <w:rPr>
          <w:sz w:val="21"/>
        </w:rPr>
        <w:t>Milo AI — copiloto conversacional para consultas en lenguaje natural sobre la cartera de sostenedores.</w:t>
      </w:r>
    </w:p>
    <w:p>
      <w:pPr>
        <w:pStyle w:val="ListBullet"/>
      </w:pPr>
      <w:r>
        <w:rPr>
          <w:sz w:val="21"/>
        </w:rPr>
        <w:t>Alertas — notificaciones automáticas cuando un indicador cruza un umbral crítico.</w:t>
      </w:r>
    </w:p>
    <w:p>
      <w:pPr>
        <w:pStyle w:val="ListBullet"/>
      </w:pPr>
      <w:r>
        <w:rPr>
          <w:sz w:val="21"/>
        </w:rPr>
        <w:t>GNA — módulo de Gestión de Novedades y Alertas para seguimiento de casos.</w:t>
      </w:r>
    </w:p>
    <w:p/>
    <w:p>
      <w:r>
        <w:rPr>
          <w:b w:val="0"/>
          <w:sz w:val="22"/>
        </w:rPr>
        <w:t>Los umbrales de riesgo están calibrados de forma conservadora para maximizar la visibilidad temprana de problemas financieros, en línea con el mandato fiscalizador de la SdE.</w:t>
      </w:r>
    </w:p>
    <w:p/>
    <w:p>
      <w:pPr>
        <w:pStyle w:val="Heading1"/>
        <w:jc w:val="left"/>
      </w:pPr>
      <w:r>
        <w:rPr>
          <w:color w:val="1F3964"/>
        </w:rPr>
        <w:t>2. Niveles de Riesgo y Umbrales</w:t>
      </w:r>
    </w:p>
    <w:p>
      <w:r>
        <w:rPr>
          <w:b w:val="0"/>
          <w:sz w:val="22"/>
        </w:rPr>
        <w:t>El sistema clasifica cada indicador en tres niveles. Los umbrales son más conservadores que el estándar de la industria para que la Superintendencia detecte problemas antes de que se vuelvan críticos.</w:t>
      </w:r>
    </w:p>
    <w:p/>
    <w:p>
      <w:pPr>
        <w:pStyle w:val="Heading2"/>
        <w:jc w:val="left"/>
      </w:pPr>
      <w:r>
        <w:rPr>
          <w:color w:val="1F3964"/>
        </w:rPr>
        <w:t>2.1 Tabla de Umbrales por Indicador</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964"/>
          </w:tcPr>
          <w:p>
            <w:pPr>
              <w:jc w:val="center"/>
            </w:pPr>
            <w:r>
              <w:rPr>
                <w:b/>
                <w:color w:val="FFFFFF"/>
                <w:sz w:val="20"/>
              </w:rPr>
              <w:t>Indicador</w:t>
            </w:r>
          </w:p>
        </w:tc>
        <w:tc>
          <w:tcPr>
            <w:tcW w:type="dxa" w:w="1824"/>
            <w:shd w:val="clear" w:color="auto" w:fill="1F3964"/>
          </w:tcPr>
          <w:p>
            <w:pPr>
              <w:jc w:val="center"/>
            </w:pPr>
            <w:r>
              <w:rPr>
                <w:b/>
                <w:color w:val="FFFFFF"/>
                <w:sz w:val="20"/>
              </w:rPr>
              <w:t>Fórmula</w:t>
            </w:r>
          </w:p>
        </w:tc>
        <w:tc>
          <w:tcPr>
            <w:tcW w:type="dxa" w:w="1824"/>
            <w:shd w:val="clear" w:color="auto" w:fill="C00000"/>
          </w:tcPr>
          <w:p>
            <w:pPr>
              <w:jc w:val="center"/>
            </w:pPr>
            <w:r>
              <w:rPr>
                <w:b/>
                <w:color w:val="FFFFFF"/>
                <w:sz w:val="20"/>
              </w:rPr>
              <w:t>CRÍTICO</w:t>
            </w:r>
          </w:p>
        </w:tc>
        <w:tc>
          <w:tcPr>
            <w:tcW w:type="dxa" w:w="1824"/>
            <w:shd w:val="clear" w:color="auto" w:fill="FF8C00"/>
          </w:tcPr>
          <w:p>
            <w:pPr>
              <w:jc w:val="center"/>
            </w:pPr>
            <w:r>
              <w:rPr>
                <w:b/>
                <w:color w:val="FFFFFF"/>
                <w:sz w:val="20"/>
              </w:rPr>
              <w:t>ALERTA</w:t>
            </w:r>
          </w:p>
        </w:tc>
        <w:tc>
          <w:tcPr>
            <w:tcW w:type="dxa" w:w="1824"/>
            <w:shd w:val="clear" w:color="auto" w:fill="378619"/>
          </w:tcPr>
          <w:p>
            <w:pPr>
              <w:jc w:val="center"/>
            </w:pPr>
            <w:r>
              <w:rPr>
                <w:b/>
                <w:color w:val="FFFFFF"/>
                <w:sz w:val="20"/>
              </w:rPr>
              <w:t>OK</w:t>
            </w:r>
          </w:p>
        </w:tc>
      </w:tr>
      <w:tr>
        <w:tc>
          <w:tcPr>
            <w:tcW w:type="dxa" w:w="1824"/>
          </w:tcPr>
          <w:p>
            <w:pPr>
              <w:jc w:val="center"/>
            </w:pPr>
            <w:r>
              <w:rPr>
                <w:sz w:val="20"/>
              </w:rPr>
              <w:t>#4 Concentración Administrativa</w:t>
            </w:r>
          </w:p>
        </w:tc>
        <w:tc>
          <w:tcPr>
            <w:tcW w:type="dxa" w:w="1824"/>
          </w:tcPr>
          <w:p>
            <w:pPr>
              <w:jc w:val="center"/>
            </w:pPr>
            <w:r>
              <w:rPr>
                <w:sz w:val="20"/>
              </w:rPr>
              <w:t>% gastos admin / total gastos</w:t>
            </w:r>
          </w:p>
        </w:tc>
        <w:tc>
          <w:tcPr>
            <w:tcW w:type="dxa" w:w="1824"/>
            <w:shd w:val="clear" w:color="auto" w:fill="FFE0E0"/>
          </w:tcPr>
          <w:p>
            <w:pPr>
              <w:jc w:val="center"/>
            </w:pPr>
            <w:r>
              <w:rPr>
                <w:b/>
                <w:color w:val="C00000"/>
                <w:sz w:val="20"/>
              </w:rPr>
              <w:t>&gt; 30%</w:t>
            </w:r>
          </w:p>
        </w:tc>
        <w:tc>
          <w:tcPr>
            <w:tcW w:type="dxa" w:w="1824"/>
            <w:shd w:val="clear" w:color="auto" w:fill="FFF3CD"/>
          </w:tcPr>
          <w:p>
            <w:pPr>
              <w:jc w:val="center"/>
            </w:pPr>
            <w:r>
              <w:rPr>
                <w:b/>
                <w:color w:val="FF8C00"/>
                <w:sz w:val="20"/>
              </w:rPr>
              <w:t>&gt; 20%</w:t>
            </w:r>
          </w:p>
        </w:tc>
        <w:tc>
          <w:tcPr>
            <w:tcW w:type="dxa" w:w="1824"/>
            <w:shd w:val="clear" w:color="auto" w:fill="E8F5E9"/>
          </w:tcPr>
          <w:p>
            <w:pPr>
              <w:jc w:val="center"/>
            </w:pPr>
            <w:r>
              <w:rPr>
                <w:b/>
                <w:color w:val="378619"/>
                <w:sz w:val="20"/>
              </w:rPr>
              <w:t>≤ 20%</w:t>
            </w:r>
          </w:p>
        </w:tc>
      </w:tr>
      <w:tr>
        <w:tc>
          <w:tcPr>
            <w:tcW w:type="dxa" w:w="1824"/>
          </w:tcPr>
          <w:p>
            <w:pPr>
              <w:jc w:val="center"/>
            </w:pPr>
            <w:r>
              <w:rPr>
                <w:sz w:val="20"/>
              </w:rPr>
              <w:t>#9 Gasto Remuneracional</w:t>
            </w:r>
          </w:p>
        </w:tc>
        <w:tc>
          <w:tcPr>
            <w:tcW w:type="dxa" w:w="1824"/>
          </w:tcPr>
          <w:p>
            <w:pPr>
              <w:jc w:val="center"/>
            </w:pPr>
            <w:r>
              <w:rPr>
                <w:sz w:val="20"/>
              </w:rPr>
              <w:t>% haberes / ingresos totales</w:t>
            </w:r>
          </w:p>
        </w:tc>
        <w:tc>
          <w:tcPr>
            <w:tcW w:type="dxa" w:w="1824"/>
            <w:shd w:val="clear" w:color="auto" w:fill="FFE0E0"/>
          </w:tcPr>
          <w:p>
            <w:pPr>
              <w:jc w:val="center"/>
            </w:pPr>
            <w:r>
              <w:rPr>
                <w:b/>
                <w:color w:val="C00000"/>
                <w:sz w:val="20"/>
              </w:rPr>
              <w:t>&gt; 85%</w:t>
            </w:r>
          </w:p>
        </w:tc>
        <w:tc>
          <w:tcPr>
            <w:tcW w:type="dxa" w:w="1824"/>
            <w:shd w:val="clear" w:color="auto" w:fill="FFF3CD"/>
          </w:tcPr>
          <w:p>
            <w:pPr>
              <w:jc w:val="center"/>
            </w:pPr>
            <w:r>
              <w:rPr>
                <w:b/>
                <w:color w:val="FF8C00"/>
                <w:sz w:val="20"/>
              </w:rPr>
              <w:t>&gt; 65%</w:t>
            </w:r>
          </w:p>
        </w:tc>
        <w:tc>
          <w:tcPr>
            <w:tcW w:type="dxa" w:w="1824"/>
            <w:shd w:val="clear" w:color="auto" w:fill="E8F5E9"/>
          </w:tcPr>
          <w:p>
            <w:pPr>
              <w:jc w:val="center"/>
            </w:pPr>
            <w:r>
              <w:rPr>
                <w:b/>
                <w:color w:val="378619"/>
                <w:sz w:val="20"/>
              </w:rPr>
              <w:t>≤ 65%</w:t>
            </w:r>
          </w:p>
        </w:tc>
      </w:tr>
      <w:tr>
        <w:tc>
          <w:tcPr>
            <w:tcW w:type="dxa" w:w="1824"/>
          </w:tcPr>
          <w:p>
            <w:pPr>
              <w:jc w:val="center"/>
            </w:pPr>
            <w:r>
              <w:rPr>
                <w:sz w:val="20"/>
              </w:rPr>
              <w:t>Balance</w:t>
            </w:r>
          </w:p>
        </w:tc>
        <w:tc>
          <w:tcPr>
            <w:tcW w:type="dxa" w:w="1824"/>
          </w:tcPr>
          <w:p>
            <w:pPr>
              <w:jc w:val="center"/>
            </w:pPr>
            <w:r>
              <w:rPr>
                <w:sz w:val="20"/>
              </w:rPr>
              <w:t>balance / ingresos × 100</w:t>
            </w:r>
          </w:p>
        </w:tc>
        <w:tc>
          <w:tcPr>
            <w:tcW w:type="dxa" w:w="1824"/>
            <w:shd w:val="clear" w:color="auto" w:fill="FFE0E0"/>
          </w:tcPr>
          <w:p>
            <w:pPr>
              <w:jc w:val="center"/>
            </w:pPr>
            <w:r>
              <w:rPr>
                <w:b/>
                <w:color w:val="C00000"/>
                <w:sz w:val="20"/>
              </w:rPr>
              <w:t>&lt; -5%</w:t>
              <w:br/>
              <w:t>(déficit)</w:t>
            </w:r>
          </w:p>
        </w:tc>
        <w:tc>
          <w:tcPr>
            <w:tcW w:type="dxa" w:w="1824"/>
            <w:shd w:val="clear" w:color="auto" w:fill="FFF3CD"/>
          </w:tcPr>
          <w:p>
            <w:pPr>
              <w:jc w:val="center"/>
            </w:pPr>
            <w:r>
              <w:rPr>
                <w:b/>
                <w:color w:val="FF8C00"/>
                <w:sz w:val="20"/>
              </w:rPr>
              <w:t>&lt; 5%</w:t>
              <w:br/>
              <w:t>(margen ajustado)</w:t>
            </w:r>
          </w:p>
        </w:tc>
        <w:tc>
          <w:tcPr>
            <w:tcW w:type="dxa" w:w="1824"/>
            <w:shd w:val="clear" w:color="auto" w:fill="E8F5E9"/>
          </w:tcPr>
          <w:p>
            <w:pPr>
              <w:jc w:val="center"/>
            </w:pPr>
            <w:r>
              <w:rPr>
                <w:b/>
                <w:color w:val="378619"/>
                <w:sz w:val="20"/>
              </w:rPr>
              <w:t>≥ 5%</w:t>
            </w:r>
          </w:p>
        </w:tc>
      </w:tr>
    </w:tbl>
    <w:p/>
    <w:p>
      <w:pPr>
        <w:pStyle w:val="Heading2"/>
        <w:jc w:val="left"/>
      </w:pPr>
      <w:r>
        <w:rPr>
          <w:color w:val="1F3964"/>
        </w:rPr>
        <w:t>2.2 Puntaje de Riesgo Compuesto</w:t>
      </w:r>
    </w:p>
    <w:p>
      <w:r>
        <w:rPr>
          <w:b w:val="0"/>
          <w:sz w:val="22"/>
        </w:rPr>
        <w:t>El sistema calcula un puntaje compuesto (0–100 puntos) combinando los tres indicadores con ponderaciones fijas. Cuanto mayor el puntaje, mayor el riesgo financiero.</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964"/>
          </w:tcPr>
          <w:p>
            <w:pPr>
              <w:jc w:val="center"/>
            </w:pPr>
            <w:r>
              <w:rPr>
                <w:b/>
                <w:color w:val="FFFFFF"/>
                <w:sz w:val="20"/>
              </w:rPr>
              <w:t>Indicador</w:t>
            </w:r>
          </w:p>
        </w:tc>
        <w:tc>
          <w:tcPr>
            <w:tcW w:type="dxa" w:w="2280"/>
            <w:shd w:val="clear" w:color="auto" w:fill="1F3964"/>
          </w:tcPr>
          <w:p>
            <w:pPr>
              <w:jc w:val="center"/>
            </w:pPr>
            <w:r>
              <w:rPr>
                <w:b/>
                <w:color w:val="FFFFFF"/>
                <w:sz w:val="20"/>
              </w:rPr>
              <w:t>Peso máximo</w:t>
            </w:r>
          </w:p>
        </w:tc>
        <w:tc>
          <w:tcPr>
            <w:tcW w:type="dxa" w:w="2280"/>
            <w:shd w:val="clear" w:color="auto" w:fill="1F3964"/>
          </w:tcPr>
          <w:p>
            <w:pPr>
              <w:jc w:val="center"/>
            </w:pPr>
            <w:r>
              <w:rPr>
                <w:b/>
                <w:color w:val="FFFFFF"/>
                <w:sz w:val="20"/>
              </w:rPr>
              <w:t>CRÍTICO (pts)</w:t>
            </w:r>
          </w:p>
        </w:tc>
        <w:tc>
          <w:tcPr>
            <w:tcW w:type="dxa" w:w="2280"/>
            <w:shd w:val="clear" w:color="auto" w:fill="1F3964"/>
          </w:tcPr>
          <w:p>
            <w:pPr>
              <w:jc w:val="center"/>
            </w:pPr>
            <w:r>
              <w:rPr>
                <w:b/>
                <w:color w:val="FFFFFF"/>
                <w:sz w:val="20"/>
              </w:rPr>
              <w:t>ALERTA (pts)</w:t>
            </w:r>
          </w:p>
        </w:tc>
      </w:tr>
      <w:tr>
        <w:tc>
          <w:tcPr>
            <w:tcW w:type="dxa" w:w="2280"/>
          </w:tcPr>
          <w:p>
            <w:pPr>
              <w:jc w:val="center"/>
            </w:pPr>
            <w:r>
              <w:rPr>
                <w:sz w:val="20"/>
              </w:rPr>
              <w:t>#4 Concentración Administrativa</w:t>
            </w:r>
          </w:p>
        </w:tc>
        <w:tc>
          <w:tcPr>
            <w:tcW w:type="dxa" w:w="2280"/>
          </w:tcPr>
          <w:p>
            <w:pPr>
              <w:jc w:val="center"/>
            </w:pPr>
            <w:r>
              <w:rPr>
                <w:sz w:val="20"/>
              </w:rPr>
              <w:t>40 pts</w:t>
            </w:r>
          </w:p>
        </w:tc>
        <w:tc>
          <w:tcPr>
            <w:tcW w:type="dxa" w:w="2280"/>
          </w:tcPr>
          <w:p>
            <w:pPr>
              <w:jc w:val="center"/>
            </w:pPr>
            <w:r>
              <w:rPr>
                <w:b/>
                <w:color w:val="C00000"/>
                <w:sz w:val="20"/>
              </w:rPr>
              <w:t>40 pts</w:t>
            </w:r>
          </w:p>
        </w:tc>
        <w:tc>
          <w:tcPr>
            <w:tcW w:type="dxa" w:w="2280"/>
          </w:tcPr>
          <w:p>
            <w:pPr>
              <w:jc w:val="center"/>
            </w:pPr>
            <w:r>
              <w:rPr>
                <w:b/>
                <w:color w:val="FF8C00"/>
                <w:sz w:val="20"/>
              </w:rPr>
              <w:t>20 pts</w:t>
            </w:r>
          </w:p>
        </w:tc>
      </w:tr>
      <w:tr>
        <w:tc>
          <w:tcPr>
            <w:tcW w:type="dxa" w:w="2280"/>
          </w:tcPr>
          <w:p>
            <w:pPr>
              <w:jc w:val="center"/>
            </w:pPr>
            <w:r>
              <w:rPr>
                <w:sz w:val="20"/>
              </w:rPr>
              <w:t>#9 Gasto Remuneracional</w:t>
            </w:r>
          </w:p>
        </w:tc>
        <w:tc>
          <w:tcPr>
            <w:tcW w:type="dxa" w:w="2280"/>
          </w:tcPr>
          <w:p>
            <w:pPr>
              <w:jc w:val="center"/>
            </w:pPr>
            <w:r>
              <w:rPr>
                <w:sz w:val="20"/>
              </w:rPr>
              <w:t>35 pts</w:t>
            </w:r>
          </w:p>
        </w:tc>
        <w:tc>
          <w:tcPr>
            <w:tcW w:type="dxa" w:w="2280"/>
          </w:tcPr>
          <w:p>
            <w:pPr>
              <w:jc w:val="center"/>
            </w:pPr>
            <w:r>
              <w:rPr>
                <w:b/>
                <w:color w:val="C00000"/>
                <w:sz w:val="20"/>
              </w:rPr>
              <w:t>35 pts</w:t>
            </w:r>
          </w:p>
        </w:tc>
        <w:tc>
          <w:tcPr>
            <w:tcW w:type="dxa" w:w="2280"/>
          </w:tcPr>
          <w:p>
            <w:pPr>
              <w:jc w:val="center"/>
            </w:pPr>
            <w:r>
              <w:rPr>
                <w:b/>
                <w:color w:val="FF8C00"/>
                <w:sz w:val="20"/>
              </w:rPr>
              <w:t>17 pts</w:t>
            </w:r>
          </w:p>
        </w:tc>
      </w:tr>
      <w:tr>
        <w:tc>
          <w:tcPr>
            <w:tcW w:type="dxa" w:w="2280"/>
          </w:tcPr>
          <w:p>
            <w:pPr>
              <w:jc w:val="center"/>
            </w:pPr>
            <w:r>
              <w:rPr>
                <w:sz w:val="20"/>
              </w:rPr>
              <w:t>Balance</w:t>
            </w:r>
          </w:p>
        </w:tc>
        <w:tc>
          <w:tcPr>
            <w:tcW w:type="dxa" w:w="2280"/>
          </w:tcPr>
          <w:p>
            <w:pPr>
              <w:jc w:val="center"/>
            </w:pPr>
            <w:r>
              <w:rPr>
                <w:sz w:val="20"/>
              </w:rPr>
              <w:t>25 pts</w:t>
            </w:r>
          </w:p>
        </w:tc>
        <w:tc>
          <w:tcPr>
            <w:tcW w:type="dxa" w:w="2280"/>
          </w:tcPr>
          <w:p>
            <w:pPr>
              <w:jc w:val="center"/>
            </w:pPr>
            <w:r>
              <w:rPr>
                <w:b/>
                <w:color w:val="C00000"/>
                <w:sz w:val="20"/>
              </w:rPr>
              <w:t>25 pts</w:t>
            </w:r>
          </w:p>
        </w:tc>
        <w:tc>
          <w:tcPr>
            <w:tcW w:type="dxa" w:w="2280"/>
          </w:tcPr>
          <w:p>
            <w:pPr>
              <w:jc w:val="center"/>
            </w:pPr>
            <w:r>
              <w:rPr>
                <w:b/>
                <w:color w:val="FF8C00"/>
                <w:sz w:val="20"/>
              </w:rPr>
              <w:t>12 pts</w:t>
            </w:r>
          </w:p>
        </w:tc>
      </w:tr>
      <w:tr>
        <w:tc>
          <w:tcPr>
            <w:tcW w:type="dxa" w:w="2280"/>
          </w:tcPr>
          <w:p>
            <w:pPr>
              <w:jc w:val="center"/>
            </w:pPr>
            <w:r>
              <w:rPr>
                <w:b/>
                <w:sz w:val="20"/>
              </w:rPr>
              <w:t>TOTAL MÁXIMO</w:t>
            </w:r>
          </w:p>
        </w:tc>
        <w:tc>
          <w:tcPr>
            <w:tcW w:type="dxa" w:w="2280"/>
          </w:tcPr>
          <w:p>
            <w:pPr>
              <w:jc w:val="center"/>
            </w:pPr>
            <w:r>
              <w:rPr>
                <w:b/>
                <w:sz w:val="20"/>
              </w:rPr>
              <w:t>100 pts</w:t>
            </w:r>
          </w:p>
        </w:tc>
        <w:tc>
          <w:tcPr>
            <w:tcW w:type="dxa" w:w="2280"/>
          </w:tcPr>
          <w:p>
            <w:pPr>
              <w:jc w:val="center"/>
            </w:pPr>
            <w:r>
              <w:rPr>
                <w:b/>
                <w:sz w:val="20"/>
              </w:rPr>
              <w:t>—</w:t>
            </w:r>
          </w:p>
        </w:tc>
        <w:tc>
          <w:tcPr>
            <w:tcW w:type="dxa" w:w="2280"/>
          </w:tcPr>
          <w:p>
            <w:pPr>
              <w:jc w:val="center"/>
            </w:pPr>
            <w:r>
              <w:rPr>
                <w:b/>
                <w:sz w:val="20"/>
              </w:rPr>
              <w:t>—</w:t>
            </w:r>
          </w:p>
        </w:tc>
      </w:tr>
    </w:tbl>
    <w:p/>
    <w:p>
      <w:r>
        <w:rPr>
          <w:b/>
          <w:sz w:val="22"/>
        </w:rPr>
        <w:t>Clasificación del puntaje compuesto:</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964"/>
          </w:tcPr>
          <w:p>
            <w:pPr>
              <w:jc w:val="center"/>
            </w:pPr>
            <w:r>
              <w:rPr>
                <w:b/>
                <w:color w:val="FFFFFF"/>
                <w:sz w:val="20"/>
              </w:rPr>
              <w:t>Nivel de Riesgo</w:t>
            </w:r>
          </w:p>
        </w:tc>
        <w:tc>
          <w:tcPr>
            <w:tcW w:type="dxa" w:w="3041"/>
            <w:shd w:val="clear" w:color="auto" w:fill="1F3964"/>
          </w:tcPr>
          <w:p>
            <w:pPr>
              <w:jc w:val="center"/>
            </w:pPr>
            <w:r>
              <w:rPr>
                <w:b/>
                <w:color w:val="FFFFFF"/>
                <w:sz w:val="20"/>
              </w:rPr>
              <w:t>Rango de Puntaje</w:t>
            </w:r>
          </w:p>
        </w:tc>
        <w:tc>
          <w:tcPr>
            <w:tcW w:type="dxa" w:w="3041"/>
            <w:shd w:val="clear" w:color="auto" w:fill="1F3964"/>
          </w:tcPr>
          <w:p>
            <w:pPr>
              <w:jc w:val="center"/>
            </w:pPr>
            <w:r>
              <w:rPr>
                <w:b/>
                <w:color w:val="FFFFFF"/>
                <w:sz w:val="20"/>
              </w:rPr>
              <w:t>Descripción</w:t>
            </w:r>
          </w:p>
        </w:tc>
      </w:tr>
      <w:tr>
        <w:tc>
          <w:tcPr>
            <w:tcW w:type="dxa" w:w="3041"/>
            <w:shd w:val="clear" w:color="auto" w:fill="FFE0E0"/>
          </w:tcPr>
          <w:p>
            <w:pPr>
              <w:jc w:val="center"/>
            </w:pPr>
            <w:r>
              <w:rPr>
                <w:b/>
                <w:color w:val="C00000"/>
                <w:sz w:val="20"/>
              </w:rPr>
              <w:t>CRÍTICO</w:t>
            </w:r>
          </w:p>
        </w:tc>
        <w:tc>
          <w:tcPr>
            <w:tcW w:type="dxa" w:w="3041"/>
          </w:tcPr>
          <w:p>
            <w:pPr>
              <w:jc w:val="center"/>
            </w:pPr>
            <w:r>
              <w:rPr>
                <w:sz w:val="20"/>
              </w:rPr>
              <w:t>&gt; 45 puntos</w:t>
            </w:r>
          </w:p>
        </w:tc>
        <w:tc>
          <w:tcPr>
            <w:tcW w:type="dxa" w:w="3041"/>
          </w:tcPr>
          <w:p>
            <w:pPr>
              <w:jc w:val="left"/>
            </w:pPr>
            <w:r>
              <w:rPr>
                <w:sz w:val="20"/>
              </w:rPr>
              <w:t>Riesgo financiero severo. Requiere acción fiscalizadora inmediata.</w:t>
            </w:r>
          </w:p>
        </w:tc>
      </w:tr>
      <w:tr>
        <w:tc>
          <w:tcPr>
            <w:tcW w:type="dxa" w:w="3041"/>
            <w:shd w:val="clear" w:color="auto" w:fill="FFF3CD"/>
          </w:tcPr>
          <w:p>
            <w:pPr>
              <w:jc w:val="center"/>
            </w:pPr>
            <w:r>
              <w:rPr>
                <w:b/>
                <w:color w:val="FF8C00"/>
                <w:sz w:val="20"/>
              </w:rPr>
              <w:t>ALERTA</w:t>
            </w:r>
          </w:p>
        </w:tc>
        <w:tc>
          <w:tcPr>
            <w:tcW w:type="dxa" w:w="3041"/>
          </w:tcPr>
          <w:p>
            <w:pPr>
              <w:jc w:val="center"/>
            </w:pPr>
            <w:r>
              <w:rPr>
                <w:sz w:val="20"/>
              </w:rPr>
              <w:t>&gt; 15 puntos</w:t>
            </w:r>
          </w:p>
        </w:tc>
        <w:tc>
          <w:tcPr>
            <w:tcW w:type="dxa" w:w="3041"/>
          </w:tcPr>
          <w:p>
            <w:pPr>
              <w:jc w:val="left"/>
            </w:pPr>
            <w:r>
              <w:rPr>
                <w:sz w:val="20"/>
              </w:rPr>
              <w:t>Señales de deterioro. Monitoreo reforzado recomendado.</w:t>
            </w:r>
          </w:p>
        </w:tc>
      </w:tr>
      <w:tr>
        <w:tc>
          <w:tcPr>
            <w:tcW w:type="dxa" w:w="3041"/>
            <w:shd w:val="clear" w:color="auto" w:fill="E8F5E9"/>
          </w:tcPr>
          <w:p>
            <w:pPr>
              <w:jc w:val="center"/>
            </w:pPr>
            <w:r>
              <w:rPr>
                <w:b/>
                <w:color w:val="378619"/>
                <w:sz w:val="20"/>
              </w:rPr>
              <w:t>OK</w:t>
            </w:r>
          </w:p>
        </w:tc>
        <w:tc>
          <w:tcPr>
            <w:tcW w:type="dxa" w:w="3041"/>
          </w:tcPr>
          <w:p>
            <w:pPr>
              <w:jc w:val="center"/>
            </w:pPr>
            <w:r>
              <w:rPr>
                <w:sz w:val="20"/>
              </w:rPr>
              <w:t>≤ 15 puntos</w:t>
            </w:r>
          </w:p>
        </w:tc>
        <w:tc>
          <w:tcPr>
            <w:tcW w:type="dxa" w:w="3041"/>
          </w:tcPr>
          <w:p>
            <w:pPr>
              <w:jc w:val="left"/>
            </w:pPr>
            <w:r>
              <w:rPr>
                <w:sz w:val="20"/>
              </w:rPr>
              <w:t>Sostenedor dentro de rangos aceptables.</w:t>
            </w:r>
          </w:p>
        </w:tc>
      </w:tr>
    </w:tbl>
    <w:p/>
    <w:p>
      <w:r>
        <w:rPr>
          <w:b w:val="0"/>
          <w:sz w:val="18"/>
        </w:rPr>
        <w:t>Nota: Los umbrales son intencionalmente más conservadores que el estándar de la industria educacional para maximizar la detección temprana y brindar a la Superintendencia la máxima visibilidad sobre el estado financiero de la red de sostenedores.</w:t>
      </w:r>
    </w:p>
    <w:p/>
    <w:p>
      <w:pPr>
        <w:pStyle w:val="Heading1"/>
        <w:jc w:val="left"/>
      </w:pPr>
      <w:r>
        <w:rPr>
          <w:color w:val="1F3964"/>
        </w:rPr>
        <w:t>3. Páginas del Portal</w:t>
      </w:r>
    </w:p>
    <w:p>
      <w:pPr>
        <w:pStyle w:val="Heading2"/>
        <w:jc w:val="left"/>
      </w:pPr>
      <w:r>
        <w:rPr>
          <w:color w:val="1F3964"/>
        </w:rPr>
        <w:t>3.1 Perfiles Fiscales</w:t>
      </w:r>
    </w:p>
    <w:p>
      <w:r>
        <w:rPr>
          <w:b w:val="0"/>
          <w:sz w:val="22"/>
        </w:rPr>
        <w:t>La página de Perfiles Fiscales permite analizar el estado financiero de un sostenedor individual. Para acceder, seleccione el sostenedor desde el buscador superior.</w:t>
      </w:r>
    </w:p>
    <w:p/>
    <w:p>
      <w:r>
        <w:rPr>
          <w:b/>
          <w:sz w:val="22"/>
        </w:rPr>
        <w:t>Funcionalidades principales:</w:t>
      </w:r>
    </w:p>
    <w:p>
      <w:pPr>
        <w:pStyle w:val="ListBullet"/>
      </w:pPr>
      <w:r>
        <w:rPr>
          <w:sz w:val="21"/>
        </w:rPr>
        <w:t>Resumen financiero: ingresos, gastos, balance y variación anual.</w:t>
      </w:r>
    </w:p>
    <w:p>
      <w:pPr>
        <w:pStyle w:val="ListBullet"/>
      </w:pPr>
      <w:r>
        <w:rPr>
          <w:sz w:val="21"/>
        </w:rPr>
        <w:t>Indicadores de riesgo: cálculo automático de #4 Concentración Administrativa y #9 Gasto Remuneracional con su nivel de riesgo (CRÍTICO / ALERTA / OK).</w:t>
      </w:r>
    </w:p>
    <w:p>
      <w:pPr>
        <w:pStyle w:val="ListBullet"/>
      </w:pPr>
      <w:r>
        <w:rPr>
          <w:sz w:val="21"/>
        </w:rPr>
        <w:t>Puntaje de Riesgo Compuesto: valor numérico y clasificación visual.</w:t>
      </w:r>
    </w:p>
    <w:p>
      <w:pPr>
        <w:pStyle w:val="ListBullet"/>
      </w:pPr>
      <w:r>
        <w:rPr>
          <w:sz w:val="21"/>
        </w:rPr>
        <w:t>Historial por año: navegación entre períodos disponibles.</w:t>
      </w:r>
    </w:p>
    <w:p>
      <w:pPr>
        <w:pStyle w:val="ListBullet"/>
      </w:pPr>
      <w:r>
        <w:rPr>
          <w:sz w:val="21"/>
        </w:rPr>
        <w:t>Exportación: descarga de perfil en PDF o Excel.</w:t>
      </w:r>
    </w:p>
    <w:p/>
    <w:p>
      <w:pPr>
        <w:pStyle w:val="Heading2"/>
        <w:jc w:val="left"/>
      </w:pPr>
      <w:r>
        <w:rPr>
          <w:color w:val="1F3964"/>
        </w:rPr>
        <w:t>3.2 Inteligencia</w:t>
      </w:r>
    </w:p>
    <w:p>
      <w:r>
        <w:rPr>
          <w:b w:val="0"/>
          <w:sz w:val="22"/>
        </w:rPr>
        <w:t>Vista agregada de todos los sostenedores de la cartera. Permite identificar patrones a nivel sistema y priorizar la acción fiscalizadora.</w:t>
      </w:r>
    </w:p>
    <w:p/>
    <w:p>
      <w:r>
        <w:rPr>
          <w:b/>
          <w:sz w:val="22"/>
        </w:rPr>
        <w:t>Funcionalidades principales:</w:t>
      </w:r>
    </w:p>
    <w:p>
      <w:pPr>
        <w:pStyle w:val="ListBullet"/>
      </w:pPr>
      <w:r>
        <w:rPr>
          <w:sz w:val="21"/>
        </w:rPr>
        <w:t>Tabla interactiva con todos los sostenedores, sus indicadores y puntaje compuesto.</w:t>
      </w:r>
    </w:p>
    <w:p>
      <w:pPr>
        <w:pStyle w:val="ListBullet"/>
      </w:pPr>
      <w:r>
        <w:rPr>
          <w:sz w:val="21"/>
        </w:rPr>
        <w:t>Filtros por región, nivel de riesgo, tipo de sostenedor y año.</w:t>
      </w:r>
    </w:p>
    <w:p>
      <w:pPr>
        <w:pStyle w:val="ListBullet"/>
      </w:pPr>
      <w:r>
        <w:rPr>
          <w:sz w:val="21"/>
        </w:rPr>
        <w:t>Ordenamiento por cualquier columna.</w:t>
      </w:r>
    </w:p>
    <w:p>
      <w:pPr>
        <w:pStyle w:val="ListBullet"/>
      </w:pPr>
      <w:r>
        <w:rPr>
          <w:sz w:val="21"/>
        </w:rPr>
        <w:t>Análisis Profundo (Deep Analysis): análisis estratégico generado por IA con streaming, basado en los datos filtrados.</w:t>
      </w:r>
    </w:p>
    <w:p>
      <w:pPr>
        <w:pStyle w:val="ListBullet"/>
      </w:pPr>
      <w:r>
        <w:rPr>
          <w:sz w:val="21"/>
        </w:rPr>
        <w:t>Exportación masiva a Excel.</w:t>
      </w:r>
    </w:p>
    <w:p/>
    <w:p>
      <w:pPr>
        <w:pStyle w:val="Heading2"/>
        <w:jc w:val="left"/>
      </w:pPr>
      <w:r>
        <w:rPr>
          <w:color w:val="1F3964"/>
        </w:rPr>
        <w:t>3.3 Milo AI</w:t>
      </w:r>
    </w:p>
    <w:p>
      <w:r>
        <w:rPr>
          <w:b w:val="0"/>
          <w:sz w:val="22"/>
        </w:rPr>
        <w:t>Copiloto conversacional impulsado por IA. Permite realizar consultas en lenguaje natural sobre la cartera de sostenedores y obtener respuestas contextualizadas, con datos reales del sistema.</w:t>
      </w:r>
    </w:p>
    <w:p/>
    <w:p>
      <w:r>
        <w:rPr>
          <w:b/>
          <w:sz w:val="22"/>
        </w:rPr>
        <w:t>Ejemplos de consultas:</w:t>
      </w:r>
    </w:p>
    <w:p>
      <w:pPr>
        <w:pStyle w:val="ListBullet"/>
      </w:pPr>
      <w:r>
        <w:rPr>
          <w:sz w:val="21"/>
        </w:rPr>
        <w:t>"¿Qué sostenedores de la Región Metropolitana tienen riesgo CRÍTICO en gasto remuneracional?"</w:t>
      </w:r>
    </w:p>
    <w:p>
      <w:pPr>
        <w:pStyle w:val="ListBullet"/>
      </w:pPr>
      <w:r>
        <w:rPr>
          <w:sz w:val="21"/>
        </w:rPr>
        <w:t>"¿Cuál es la tendencia de balance de [nombre sostenedor] en los últimos 3 años?"</w:t>
      </w:r>
    </w:p>
    <w:p>
      <w:pPr>
        <w:pStyle w:val="ListBullet"/>
      </w:pPr>
      <w:r>
        <w:rPr>
          <w:sz w:val="21"/>
        </w:rPr>
        <w:t>"Muéstrame los 10 sostenedores con mayor concentración administrativa."</w:t>
      </w:r>
    </w:p>
    <w:p/>
    <w:p>
      <w:r>
        <w:rPr>
          <w:b w:val="0"/>
          <w:sz w:val="22"/>
        </w:rPr>
        <w:t>Milo AI extrae automáticamente el contexto relevante de la base de datos antes de cada respuesta. La información sensible es anonimizada según protocolo PII antes de enviarse al modelo de lenguaje.</w:t>
      </w:r>
    </w:p>
    <w:p/>
    <w:p>
      <w:pPr>
        <w:pStyle w:val="Heading2"/>
        <w:jc w:val="left"/>
      </w:pPr>
      <w:r>
        <w:rPr>
          <w:color w:val="1F3964"/>
        </w:rPr>
        <w:t>3.4 Alertas</w:t>
      </w:r>
    </w:p>
    <w:p>
      <w:r>
        <w:rPr>
          <w:b w:val="0"/>
          <w:sz w:val="22"/>
        </w:rPr>
        <w:t>Centro de notificaciones automáticas. El sistema genera alertas cuando un indicador cruza un umbral definido (ver Sección 2).</w:t>
      </w:r>
    </w:p>
    <w:p/>
    <w:p>
      <w:r>
        <w:rPr>
          <w:b/>
          <w:sz w:val="22"/>
        </w:rPr>
        <w:t>Funcionalidades:</w:t>
      </w:r>
    </w:p>
    <w:p>
      <w:pPr>
        <w:pStyle w:val="ListBullet"/>
      </w:pPr>
      <w:r>
        <w:rPr>
          <w:sz w:val="21"/>
        </w:rPr>
        <w:t>Listado de alertas activas ordenadas por severidad y fecha.</w:t>
      </w:r>
    </w:p>
    <w:p>
      <w:pPr>
        <w:pStyle w:val="ListBullet"/>
      </w:pPr>
      <w:r>
        <w:rPr>
          <w:sz w:val="21"/>
        </w:rPr>
        <w:t>Filtro por tipo de alerta, sostenedor y región.</w:t>
      </w:r>
    </w:p>
    <w:p>
      <w:pPr>
        <w:pStyle w:val="ListBullet"/>
      </w:pPr>
      <w:r>
        <w:rPr>
          <w:sz w:val="21"/>
        </w:rPr>
        <w:t>Detalle de alerta: indicador, valor actual, umbral superado, fecha de detección.</w:t>
      </w:r>
    </w:p>
    <w:p>
      <w:pPr>
        <w:pStyle w:val="ListBullet"/>
      </w:pPr>
      <w:r>
        <w:rPr>
          <w:sz w:val="21"/>
        </w:rPr>
        <w:t>Marcado como revisada / derivada a GNA.</w:t>
      </w:r>
    </w:p>
    <w:p/>
    <w:p>
      <w:pPr>
        <w:pStyle w:val="Heading2"/>
        <w:jc w:val="left"/>
      </w:pPr>
      <w:r>
        <w:rPr>
          <w:color w:val="1F3964"/>
        </w:rPr>
        <w:t>3.5 GNA — Gestión de Novedades y Alertas</w:t>
      </w:r>
    </w:p>
    <w:p>
      <w:r>
        <w:rPr>
          <w:b w:val="0"/>
          <w:sz w:val="22"/>
        </w:rPr>
        <w:t>Módulo de seguimiento de casos para el equipo fiscalizador. Permite registrar, asignar y hacer seguimiento de las novedades detectadas por el sistema o ingresadas manualmente.</w:t>
      </w:r>
    </w:p>
    <w:p/>
    <w:p>
      <w:r>
        <w:rPr>
          <w:b/>
          <w:sz w:val="22"/>
        </w:rPr>
        <w:t>Funcionalidades:</w:t>
      </w:r>
    </w:p>
    <w:p>
      <w:pPr>
        <w:pStyle w:val="ListBullet"/>
      </w:pPr>
      <w:r>
        <w:rPr>
          <w:sz w:val="21"/>
        </w:rPr>
        <w:t>Creación de casos vinculados a sostenedores y alertas.</w:t>
      </w:r>
    </w:p>
    <w:p>
      <w:pPr>
        <w:pStyle w:val="ListBullet"/>
      </w:pPr>
      <w:r>
        <w:rPr>
          <w:sz w:val="21"/>
        </w:rPr>
        <w:t>Asignación a fiscalizadores responsables.</w:t>
      </w:r>
    </w:p>
    <w:p>
      <w:pPr>
        <w:pStyle w:val="ListBullet"/>
      </w:pPr>
      <w:r>
        <w:rPr>
          <w:sz w:val="21"/>
        </w:rPr>
        <w:t>Historial de acciones y comentarios.</w:t>
      </w:r>
    </w:p>
    <w:p>
      <w:pPr>
        <w:pStyle w:val="ListBullet"/>
      </w:pPr>
      <w:r>
        <w:rPr>
          <w:sz w:val="21"/>
        </w:rPr>
        <w:t>Estados: Abierto / En revisión / Cerrado.</w:t>
      </w:r>
    </w:p>
    <w:p>
      <w:pPr>
        <w:pStyle w:val="ListBullet"/>
      </w:pPr>
      <w:r>
        <w:rPr>
          <w:sz w:val="21"/>
        </w:rPr>
        <w:t>Exportación de casos para informes.</w:t>
      </w:r>
    </w:p>
    <w:p/>
    <w:p>
      <w:pPr>
        <w:pStyle w:val="Heading1"/>
        <w:jc w:val="left"/>
      </w:pPr>
      <w:r>
        <w:rPr>
          <w:color w:val="1F3964"/>
        </w:rPr>
        <w:t>4. Glosario de Indicadores</w:t>
      </w:r>
    </w:p>
    <w:p>
      <w:r>
        <w:rPr>
          <w:b w:val="0"/>
          <w:sz w:val="22"/>
        </w:rPr>
        <w:t>Definición técnica de cada indicador calculado por el sistema, con sus umbrales exactos y criterio de clasificación.</w:t>
      </w:r>
    </w:p>
    <w:p/>
    <w:p>
      <w:pPr>
        <w:pStyle w:val="Heading2"/>
        <w:jc w:val="left"/>
      </w:pPr>
      <w:r>
        <w:rPr>
          <w:color w:val="1F3964"/>
        </w:rPr>
        <w:t>#4 — Concentración Administrativa</w:t>
      </w:r>
    </w:p>
    <w:p>
      <w:r>
        <w:rPr>
          <w:b w:val="0"/>
          <w:sz w:val="22"/>
        </w:rPr>
        <w:t>Mide qué proporción del total de gastos del sostenedor corresponde a gastos administrativos (dirección, gestión, servicios generales). Una concentración elevada puede indicar ineficiencia en el uso de recursos o posible desvío de fondos destinados a educación.</w:t>
      </w:r>
    </w:p>
    <w:p/>
    <w:p>
      <w:r>
        <w:rPr>
          <w:b/>
        </w:rPr>
        <w:t xml:space="preserve">Fórmula: </w:t>
      </w:r>
      <w:r>
        <w:rPr>
          <w:rFonts w:ascii="Courier New" w:hAnsi="Courier New"/>
          <w:sz w:val="20"/>
        </w:rPr>
        <w:t>gastos_admin / total_gastos × 100</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964"/>
          </w:tcPr>
          <w:p>
            <w:r>
              <w:rPr>
                <w:b/>
                <w:color w:val="FFFFFF"/>
                <w:sz w:val="18"/>
              </w:rPr>
              <w:t>Nivel</w:t>
            </w:r>
          </w:p>
        </w:tc>
        <w:tc>
          <w:tcPr>
            <w:tcW w:type="dxa" w:w="3041"/>
            <w:shd w:val="clear" w:color="auto" w:fill="1F3964"/>
          </w:tcPr>
          <w:p>
            <w:r>
              <w:rPr>
                <w:b/>
                <w:color w:val="FFFFFF"/>
                <w:sz w:val="18"/>
              </w:rPr>
              <w:t>Umbral</w:t>
            </w:r>
          </w:p>
        </w:tc>
        <w:tc>
          <w:tcPr>
            <w:tcW w:type="dxa" w:w="3041"/>
            <w:shd w:val="clear" w:color="auto" w:fill="1F3964"/>
          </w:tcPr>
          <w:p>
            <w:r>
              <w:rPr>
                <w:b/>
                <w:color w:val="FFFFFF"/>
                <w:sz w:val="18"/>
              </w:rPr>
              <w:t>Interpretación</w:t>
            </w:r>
          </w:p>
        </w:tc>
      </w:tr>
      <w:tr>
        <w:tc>
          <w:tcPr>
            <w:tcW w:type="dxa" w:w="3041"/>
          </w:tcPr>
          <w:p>
            <w:r>
              <w:rPr>
                <w:b/>
                <w:color w:val="C00000"/>
                <w:sz w:val="18"/>
              </w:rPr>
              <w:t>CRÍTICO</w:t>
            </w:r>
          </w:p>
        </w:tc>
        <w:tc>
          <w:tcPr>
            <w:tcW w:type="dxa" w:w="3041"/>
          </w:tcPr>
          <w:p>
            <w:r>
              <w:rPr>
                <w:sz w:val="18"/>
              </w:rPr>
              <w:t>&gt; 30%</w:t>
            </w:r>
          </w:p>
        </w:tc>
        <w:tc>
          <w:tcPr>
            <w:tcW w:type="dxa" w:w="3041"/>
          </w:tcPr>
          <w:p>
            <w:r>
              <w:rPr>
                <w:sz w:val="18"/>
              </w:rPr>
              <w:t>Concentración administrativa severa. Posible uso inadecuado de fondos de subvención.</w:t>
            </w:r>
          </w:p>
        </w:tc>
      </w:tr>
      <w:tr>
        <w:tc>
          <w:tcPr>
            <w:tcW w:type="dxa" w:w="3041"/>
          </w:tcPr>
          <w:p>
            <w:r>
              <w:rPr>
                <w:b/>
                <w:color w:val="FF8C00"/>
                <w:sz w:val="18"/>
              </w:rPr>
              <w:t>ALERTA</w:t>
            </w:r>
          </w:p>
        </w:tc>
        <w:tc>
          <w:tcPr>
            <w:tcW w:type="dxa" w:w="3041"/>
          </w:tcPr>
          <w:p>
            <w:r>
              <w:rPr>
                <w:sz w:val="18"/>
              </w:rPr>
              <w:t>&gt; 20%</w:t>
            </w:r>
          </w:p>
        </w:tc>
        <w:tc>
          <w:tcPr>
            <w:tcW w:type="dxa" w:w="3041"/>
          </w:tcPr>
          <w:p>
            <w:r>
              <w:rPr>
                <w:sz w:val="18"/>
              </w:rPr>
              <w:t>Concentración superior al límite de confort. Requiere análisis detallado.</w:t>
            </w:r>
          </w:p>
        </w:tc>
      </w:tr>
      <w:tr>
        <w:tc>
          <w:tcPr>
            <w:tcW w:type="dxa" w:w="3041"/>
          </w:tcPr>
          <w:p>
            <w:r>
              <w:rPr>
                <w:b/>
                <w:color w:val="378619"/>
                <w:sz w:val="18"/>
              </w:rPr>
              <w:t>OK</w:t>
            </w:r>
          </w:p>
        </w:tc>
        <w:tc>
          <w:tcPr>
            <w:tcW w:type="dxa" w:w="3041"/>
          </w:tcPr>
          <w:p>
            <w:r>
              <w:rPr>
                <w:sz w:val="18"/>
              </w:rPr>
              <w:t>≤ 20%</w:t>
            </w:r>
          </w:p>
        </w:tc>
        <w:tc>
          <w:tcPr>
            <w:tcW w:type="dxa" w:w="3041"/>
          </w:tcPr>
          <w:p>
            <w:r>
              <w:rPr>
                <w:sz w:val="18"/>
              </w:rPr>
              <w:t>Dentro de rangos aceptables.</w:t>
            </w:r>
          </w:p>
        </w:tc>
      </w:tr>
    </w:tbl>
    <w:p/>
    <w:p>
      <w:r>
        <w:rPr>
          <w:b/>
        </w:rPr>
        <w:t xml:space="preserve">Fuente de datos: </w:t>
      </w:r>
      <w:r>
        <w:rPr>
          <w:sz w:val="18"/>
        </w:rPr>
        <w:t>Planilla de remuneraciones + estado financiero anual.</w:t>
      </w:r>
    </w:p>
    <w:p/>
    <w:p>
      <w:pPr>
        <w:pStyle w:val="Heading2"/>
        <w:jc w:val="left"/>
      </w:pPr>
      <w:r>
        <w:rPr>
          <w:color w:val="1F3964"/>
        </w:rPr>
        <w:t>#9 — Gasto Remuneracional</w:t>
      </w:r>
    </w:p>
    <w:p>
      <w:r>
        <w:rPr>
          <w:b w:val="0"/>
          <w:sz w:val="22"/>
        </w:rPr>
        <w:t>Mide la proporción de los ingresos totales que se destina a remuneraciones del personal (docente y no docente). Un porcentaje muy elevado compromete la sostenibilidad financiera y deja escaso margen para gastos operacionales y de inversión.</w:t>
      </w:r>
    </w:p>
    <w:p/>
    <w:p>
      <w:r>
        <w:rPr>
          <w:b/>
        </w:rPr>
        <w:t xml:space="preserve">Fórmula: </w:t>
      </w:r>
      <w:r>
        <w:rPr>
          <w:rFonts w:ascii="Courier New" w:hAnsi="Courier New"/>
          <w:sz w:val="20"/>
        </w:rPr>
        <w:t>total_haberes / ingresos_totales × 100</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964"/>
          </w:tcPr>
          <w:p>
            <w:r>
              <w:rPr>
                <w:b/>
                <w:color w:val="FFFFFF"/>
                <w:sz w:val="18"/>
              </w:rPr>
              <w:t>Nivel</w:t>
            </w:r>
          </w:p>
        </w:tc>
        <w:tc>
          <w:tcPr>
            <w:tcW w:type="dxa" w:w="3041"/>
            <w:shd w:val="clear" w:color="auto" w:fill="1F3964"/>
          </w:tcPr>
          <w:p>
            <w:r>
              <w:rPr>
                <w:b/>
                <w:color w:val="FFFFFF"/>
                <w:sz w:val="18"/>
              </w:rPr>
              <w:t>Umbral</w:t>
            </w:r>
          </w:p>
        </w:tc>
        <w:tc>
          <w:tcPr>
            <w:tcW w:type="dxa" w:w="3041"/>
            <w:shd w:val="clear" w:color="auto" w:fill="1F3964"/>
          </w:tcPr>
          <w:p>
            <w:r>
              <w:rPr>
                <w:b/>
                <w:color w:val="FFFFFF"/>
                <w:sz w:val="18"/>
              </w:rPr>
              <w:t>Interpretación</w:t>
            </w:r>
          </w:p>
        </w:tc>
      </w:tr>
      <w:tr>
        <w:tc>
          <w:tcPr>
            <w:tcW w:type="dxa" w:w="3041"/>
          </w:tcPr>
          <w:p>
            <w:r>
              <w:rPr>
                <w:b/>
                <w:color w:val="C00000"/>
                <w:sz w:val="18"/>
              </w:rPr>
              <w:t>CRÍTICO</w:t>
            </w:r>
          </w:p>
        </w:tc>
        <w:tc>
          <w:tcPr>
            <w:tcW w:type="dxa" w:w="3041"/>
          </w:tcPr>
          <w:p>
            <w:r>
              <w:rPr>
                <w:sz w:val="18"/>
              </w:rPr>
              <w:t>&gt; 85%</w:t>
            </w:r>
          </w:p>
        </w:tc>
        <w:tc>
          <w:tcPr>
            <w:tcW w:type="dxa" w:w="3041"/>
          </w:tcPr>
          <w:p>
            <w:r>
              <w:rPr>
                <w:sz w:val="18"/>
              </w:rPr>
              <w:t>Presión remuneracional insostenible. Riesgo de insolvencia operativa.</w:t>
            </w:r>
          </w:p>
        </w:tc>
      </w:tr>
      <w:tr>
        <w:tc>
          <w:tcPr>
            <w:tcW w:type="dxa" w:w="3041"/>
          </w:tcPr>
          <w:p>
            <w:r>
              <w:rPr>
                <w:b/>
                <w:color w:val="FF8C00"/>
                <w:sz w:val="18"/>
              </w:rPr>
              <w:t>ALERTA</w:t>
            </w:r>
          </w:p>
        </w:tc>
        <w:tc>
          <w:tcPr>
            <w:tcW w:type="dxa" w:w="3041"/>
          </w:tcPr>
          <w:p>
            <w:r>
              <w:rPr>
                <w:sz w:val="18"/>
              </w:rPr>
              <w:t>&gt; 65%</w:t>
            </w:r>
          </w:p>
        </w:tc>
        <w:tc>
          <w:tcPr>
            <w:tcW w:type="dxa" w:w="3041"/>
          </w:tcPr>
          <w:p>
            <w:r>
              <w:rPr>
                <w:sz w:val="18"/>
              </w:rPr>
              <w:t>Presión remuneracional elevada. Margen operacional ajustado.</w:t>
            </w:r>
          </w:p>
        </w:tc>
      </w:tr>
      <w:tr>
        <w:tc>
          <w:tcPr>
            <w:tcW w:type="dxa" w:w="3041"/>
          </w:tcPr>
          <w:p>
            <w:r>
              <w:rPr>
                <w:b/>
                <w:color w:val="378619"/>
                <w:sz w:val="18"/>
              </w:rPr>
              <w:t>OK</w:t>
            </w:r>
          </w:p>
        </w:tc>
        <w:tc>
          <w:tcPr>
            <w:tcW w:type="dxa" w:w="3041"/>
          </w:tcPr>
          <w:p>
            <w:r>
              <w:rPr>
                <w:sz w:val="18"/>
              </w:rPr>
              <w:t>≤ 65%</w:t>
            </w:r>
          </w:p>
        </w:tc>
        <w:tc>
          <w:tcPr>
            <w:tcW w:type="dxa" w:w="3041"/>
          </w:tcPr>
          <w:p>
            <w:r>
              <w:rPr>
                <w:sz w:val="18"/>
              </w:rPr>
              <w:t>Proporción remuneracional saludable.</w:t>
            </w:r>
          </w:p>
        </w:tc>
      </w:tr>
    </w:tbl>
    <w:p/>
    <w:p>
      <w:r>
        <w:rPr>
          <w:b/>
        </w:rPr>
        <w:t xml:space="preserve">Fuente de datos: </w:t>
      </w:r>
      <w:r>
        <w:rPr>
          <w:sz w:val="18"/>
        </w:rPr>
        <w:t>Planilla de remuneraciones anual.</w:t>
      </w:r>
    </w:p>
    <w:p/>
    <w:p>
      <w:pPr>
        <w:pStyle w:val="Heading2"/>
        <w:jc w:val="left"/>
      </w:pPr>
      <w:r>
        <w:rPr>
          <w:color w:val="1F3964"/>
        </w:rPr>
        <w:t>Balance</w:t>
      </w:r>
    </w:p>
    <w:p>
      <w:r>
        <w:rPr>
          <w:b w:val="0"/>
          <w:sz w:val="22"/>
        </w:rPr>
        <w:t>Diferencia entre ingresos y egresos del período, expresada como porcentaje de los ingresos. Un balance negativo indica déficit; un balance positivo pero inferior al 5% de los ingresos es considerado margen ajustado bajo el criterio conservador de DataMate.</w:t>
      </w:r>
    </w:p>
    <w:p/>
    <w:p>
      <w:r>
        <w:rPr>
          <w:b/>
        </w:rPr>
        <w:t xml:space="preserve">Fórmula: </w:t>
      </w:r>
      <w:r>
        <w:rPr>
          <w:rFonts w:ascii="Courier New" w:hAnsi="Courier New"/>
          <w:sz w:val="20"/>
        </w:rPr>
        <w:t>ingresos_totales − gastos_totales  →  balance / ingresos × 100</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964"/>
          </w:tcPr>
          <w:p>
            <w:r>
              <w:rPr>
                <w:b/>
                <w:color w:val="FFFFFF"/>
                <w:sz w:val="18"/>
              </w:rPr>
              <w:t>Nivel</w:t>
            </w:r>
          </w:p>
        </w:tc>
        <w:tc>
          <w:tcPr>
            <w:tcW w:type="dxa" w:w="3041"/>
            <w:shd w:val="clear" w:color="auto" w:fill="1F3964"/>
          </w:tcPr>
          <w:p>
            <w:r>
              <w:rPr>
                <w:b/>
                <w:color w:val="FFFFFF"/>
                <w:sz w:val="18"/>
              </w:rPr>
              <w:t>Umbral</w:t>
            </w:r>
          </w:p>
        </w:tc>
        <w:tc>
          <w:tcPr>
            <w:tcW w:type="dxa" w:w="3041"/>
            <w:shd w:val="clear" w:color="auto" w:fill="1F3964"/>
          </w:tcPr>
          <w:p>
            <w:r>
              <w:rPr>
                <w:b/>
                <w:color w:val="FFFFFF"/>
                <w:sz w:val="18"/>
              </w:rPr>
              <w:t>Interpretación</w:t>
            </w:r>
          </w:p>
        </w:tc>
      </w:tr>
      <w:tr>
        <w:tc>
          <w:tcPr>
            <w:tcW w:type="dxa" w:w="3041"/>
          </w:tcPr>
          <w:p>
            <w:r>
              <w:rPr>
                <w:b/>
                <w:color w:val="C00000"/>
                <w:sz w:val="18"/>
              </w:rPr>
              <w:t>CRÍTICO</w:t>
            </w:r>
          </w:p>
        </w:tc>
        <w:tc>
          <w:tcPr>
            <w:tcW w:type="dxa" w:w="3041"/>
          </w:tcPr>
          <w:p>
            <w:r>
              <w:rPr>
                <w:sz w:val="18"/>
              </w:rPr>
              <w:t>&lt; −5% de ingresos</w:t>
            </w:r>
          </w:p>
        </w:tc>
        <w:tc>
          <w:tcPr>
            <w:tcW w:type="dxa" w:w="3041"/>
          </w:tcPr>
          <w:p>
            <w:r>
              <w:rPr>
                <w:sz w:val="18"/>
              </w:rPr>
              <w:t>Déficit significativo. El sostenedor gasta más de lo que ingresa.</w:t>
            </w:r>
          </w:p>
        </w:tc>
      </w:tr>
      <w:tr>
        <w:tc>
          <w:tcPr>
            <w:tcW w:type="dxa" w:w="3041"/>
          </w:tcPr>
          <w:p>
            <w:r>
              <w:rPr>
                <w:b/>
                <w:color w:val="FF8C00"/>
                <w:sz w:val="18"/>
              </w:rPr>
              <w:t>ALERTA</w:t>
            </w:r>
          </w:p>
        </w:tc>
        <w:tc>
          <w:tcPr>
            <w:tcW w:type="dxa" w:w="3041"/>
          </w:tcPr>
          <w:p>
            <w:r>
              <w:rPr>
                <w:sz w:val="18"/>
              </w:rPr>
              <w:t>&lt; 5% de ingresos</w:t>
            </w:r>
          </w:p>
        </w:tc>
        <w:tc>
          <w:tcPr>
            <w:tcW w:type="dxa" w:w="3041"/>
          </w:tcPr>
          <w:p>
            <w:r>
              <w:rPr>
                <w:sz w:val="18"/>
              </w:rPr>
              <w:t>Superávit mínimo o equilibrio justo. Margen insuficiente ante imprevistos.</w:t>
            </w:r>
          </w:p>
        </w:tc>
      </w:tr>
      <w:tr>
        <w:tc>
          <w:tcPr>
            <w:tcW w:type="dxa" w:w="3041"/>
          </w:tcPr>
          <w:p>
            <w:r>
              <w:rPr>
                <w:b/>
                <w:color w:val="378619"/>
                <w:sz w:val="18"/>
              </w:rPr>
              <w:t>OK</w:t>
            </w:r>
          </w:p>
        </w:tc>
        <w:tc>
          <w:tcPr>
            <w:tcW w:type="dxa" w:w="3041"/>
          </w:tcPr>
          <w:p>
            <w:r>
              <w:rPr>
                <w:sz w:val="18"/>
              </w:rPr>
              <w:t>≥ 5% de ingresos</w:t>
            </w:r>
          </w:p>
        </w:tc>
        <w:tc>
          <w:tcPr>
            <w:tcW w:type="dxa" w:w="3041"/>
          </w:tcPr>
          <w:p>
            <w:r>
              <w:rPr>
                <w:sz w:val="18"/>
              </w:rPr>
              <w:t>Margen financiero saludable.</w:t>
            </w:r>
          </w:p>
        </w:tc>
      </w:tr>
    </w:tbl>
    <w:p/>
    <w:p>
      <w:r>
        <w:rPr>
          <w:b/>
        </w:rPr>
        <w:t xml:space="preserve">Fuente de datos: </w:t>
      </w:r>
      <w:r>
        <w:rPr>
          <w:sz w:val="18"/>
        </w:rPr>
        <w:t>Estado financiero anual.</w:t>
      </w:r>
    </w:p>
    <w:p/>
    <w:p>
      <w:pPr>
        <w:pStyle w:val="Heading2"/>
        <w:jc w:val="left"/>
      </w:pPr>
      <w:r>
        <w:rPr>
          <w:color w:val="1F3964"/>
        </w:rPr>
        <w:t>Puntaje de Riesgo Compuesto</w:t>
      </w:r>
    </w:p>
    <w:p>
      <w:r>
        <w:rPr>
          <w:b w:val="0"/>
          <w:sz w:val="22"/>
        </w:rPr>
        <w:t>Indicador sintético que combina los tres indicadores anteriores en un único valor entre 0 y 100. Facilita la comparación y priorización entre sostenedores. Un puntaje elevado señala riesgo financiero acumulado.</w:t>
      </w:r>
    </w:p>
    <w:p/>
    <w:p>
      <w:r>
        <w:rPr>
          <w:b/>
        </w:rPr>
        <w:t xml:space="preserve">Fórmula: </w:t>
      </w:r>
      <w:r>
        <w:rPr>
          <w:rFonts w:ascii="Courier New" w:hAnsi="Courier New"/>
          <w:sz w:val="20"/>
        </w:rPr>
        <w:t>Suma ponderada: #4 (máx 40 pts) + #9 (máx 35 pts) + Balance (máx 25 pts)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964"/>
          </w:tcPr>
          <w:p>
            <w:r>
              <w:rPr>
                <w:b/>
                <w:color w:val="FFFFFF"/>
                <w:sz w:val="18"/>
              </w:rPr>
              <w:t>Nivel</w:t>
            </w:r>
          </w:p>
        </w:tc>
        <w:tc>
          <w:tcPr>
            <w:tcW w:type="dxa" w:w="3041"/>
            <w:shd w:val="clear" w:color="auto" w:fill="1F3964"/>
          </w:tcPr>
          <w:p>
            <w:r>
              <w:rPr>
                <w:b/>
                <w:color w:val="FFFFFF"/>
                <w:sz w:val="18"/>
              </w:rPr>
              <w:t>Umbral</w:t>
            </w:r>
          </w:p>
        </w:tc>
        <w:tc>
          <w:tcPr>
            <w:tcW w:type="dxa" w:w="3041"/>
            <w:shd w:val="clear" w:color="auto" w:fill="1F3964"/>
          </w:tcPr>
          <w:p>
            <w:r>
              <w:rPr>
                <w:b/>
                <w:color w:val="FFFFFF"/>
                <w:sz w:val="18"/>
              </w:rPr>
              <w:t>Interpretación</w:t>
            </w:r>
          </w:p>
        </w:tc>
      </w:tr>
      <w:tr>
        <w:tc>
          <w:tcPr>
            <w:tcW w:type="dxa" w:w="3041"/>
          </w:tcPr>
          <w:p>
            <w:r>
              <w:rPr>
                <w:b/>
                <w:color w:val="C00000"/>
                <w:sz w:val="18"/>
              </w:rPr>
              <w:t>CRÍTICO</w:t>
            </w:r>
          </w:p>
        </w:tc>
        <w:tc>
          <w:tcPr>
            <w:tcW w:type="dxa" w:w="3041"/>
          </w:tcPr>
          <w:p>
            <w:r>
              <w:rPr>
                <w:sz w:val="18"/>
              </w:rPr>
              <w:t>&gt; 45 puntos</w:t>
            </w:r>
          </w:p>
        </w:tc>
        <w:tc>
          <w:tcPr>
            <w:tcW w:type="dxa" w:w="3041"/>
          </w:tcPr>
          <w:p>
            <w:r>
              <w:rPr>
                <w:sz w:val="18"/>
              </w:rPr>
              <w:t>Riesgo financiero severo. Prioridad máxima para fiscalización.</w:t>
            </w:r>
          </w:p>
        </w:tc>
      </w:tr>
      <w:tr>
        <w:tc>
          <w:tcPr>
            <w:tcW w:type="dxa" w:w="3041"/>
          </w:tcPr>
          <w:p>
            <w:r>
              <w:rPr>
                <w:b/>
                <w:color w:val="FF8C00"/>
                <w:sz w:val="18"/>
              </w:rPr>
              <w:t>ALERTA</w:t>
            </w:r>
          </w:p>
        </w:tc>
        <w:tc>
          <w:tcPr>
            <w:tcW w:type="dxa" w:w="3041"/>
          </w:tcPr>
          <w:p>
            <w:r>
              <w:rPr>
                <w:sz w:val="18"/>
              </w:rPr>
              <w:t>&gt; 15 puntos</w:t>
            </w:r>
          </w:p>
        </w:tc>
        <w:tc>
          <w:tcPr>
            <w:tcW w:type="dxa" w:w="3041"/>
          </w:tcPr>
          <w:p>
            <w:r>
              <w:rPr>
                <w:sz w:val="18"/>
              </w:rPr>
              <w:t>Señales de deterioro. Monitoreo reforzado.</w:t>
            </w:r>
          </w:p>
        </w:tc>
      </w:tr>
      <w:tr>
        <w:tc>
          <w:tcPr>
            <w:tcW w:type="dxa" w:w="3041"/>
          </w:tcPr>
          <w:p>
            <w:r>
              <w:rPr>
                <w:b/>
                <w:color w:val="378619"/>
                <w:sz w:val="18"/>
              </w:rPr>
              <w:t>OK</w:t>
            </w:r>
          </w:p>
        </w:tc>
        <w:tc>
          <w:tcPr>
            <w:tcW w:type="dxa" w:w="3041"/>
          </w:tcPr>
          <w:p>
            <w:r>
              <w:rPr>
                <w:sz w:val="18"/>
              </w:rPr>
              <w:t>≤ 15 puntos</w:t>
            </w:r>
          </w:p>
        </w:tc>
        <w:tc>
          <w:tcPr>
            <w:tcW w:type="dxa" w:w="3041"/>
          </w:tcPr>
          <w:p>
            <w:r>
              <w:rPr>
                <w:sz w:val="18"/>
              </w:rPr>
              <w:t>Sostenedor dentro de rangos aceptables.</w:t>
            </w:r>
          </w:p>
        </w:tc>
      </w:tr>
    </w:tbl>
    <w:p/>
    <w:p>
      <w:r>
        <w:rPr>
          <w:b/>
        </w:rPr>
        <w:t xml:space="preserve">Fuente de datos: </w:t>
      </w:r>
      <w:r>
        <w:rPr>
          <w:sz w:val="18"/>
        </w:rPr>
        <w:t>Calculado internamente por DataMate Edu.</w:t>
      </w:r>
    </w:p>
    <w:p/>
    <w:p>
      <w:pPr>
        <w:pStyle w:val="Heading1"/>
        <w:jc w:val="left"/>
      </w:pPr>
      <w:r>
        <w:rPr>
          <w:color w:val="1F3964"/>
        </w:rPr>
        <w:t>5. Cómo Empezar</w:t>
      </w:r>
    </w:p>
    <w:p>
      <w:r>
        <w:rPr>
          <w:b w:val="0"/>
          <w:sz w:val="22"/>
        </w:rPr>
        <w:t>Siga estos pasos para comenzar a utilizar DataMate Edu en su jornada de fiscalización.</w:t>
      </w:r>
    </w:p>
    <w:p/>
    <w:p>
      <w:r>
        <w:rPr>
          <w:b/>
          <w:sz w:val="22"/>
        </w:rPr>
        <w:t>Paso 1 — Acceso al portal</w:t>
      </w:r>
    </w:p>
    <w:p>
      <w:r>
        <w:rPr>
          <w:b w:val="0"/>
          <w:sz w:val="22"/>
        </w:rPr>
        <w:t>Ingrese a la URL del portal con sus credenciales institucionales (usuario y contraseña de la Superintendencia). El sistema valida autenticación vía SSO institucional.</w:t>
      </w:r>
    </w:p>
    <w:p/>
    <w:p>
      <w:r>
        <w:rPr>
          <w:b/>
          <w:sz w:val="22"/>
        </w:rPr>
        <w:t>Paso 2 — Seleccione el módulo</w:t>
      </w:r>
    </w:p>
    <w:p>
      <w:r>
        <w:rPr>
          <w:b w:val="0"/>
          <w:sz w:val="22"/>
        </w:rPr>
        <w:t>Desde el menú lateral, elija el módulo según su necesidad:</w:t>
        <w:br/>
        <w:t>• Perfiles Fiscales → análisis individual de un sostenedor.</w:t>
        <w:br/>
        <w:t>• Inteligencia → visión agregada de la cartera.</w:t>
        <w:br/>
        <w:t>• Milo AI → consultas en lenguaje natural.</w:t>
        <w:br/>
        <w:t>• Alertas → novedades automáticas del sistema.</w:t>
        <w:br/>
        <w:t>• GNA → gestión de casos.</w:t>
      </w:r>
    </w:p>
    <w:p/>
    <w:p>
      <w:r>
        <w:rPr>
          <w:b/>
          <w:sz w:val="22"/>
        </w:rPr>
        <w:t>Paso 3 — Aplique filtros</w:t>
      </w:r>
    </w:p>
    <w:p>
      <w:r>
        <w:rPr>
          <w:b w:val="0"/>
          <w:sz w:val="22"/>
        </w:rPr>
        <w:t>En Inteligencia y Alertas, use los filtros para acotar la búsqueda por región, nivel de riesgo, tipo de sostenedor y año. Haga clic en «Aplicar» para refrescar la vista.</w:t>
      </w:r>
    </w:p>
    <w:p/>
    <w:p>
      <w:r>
        <w:rPr>
          <w:b/>
          <w:sz w:val="22"/>
        </w:rPr>
        <w:t>Paso 4 — Interprete los indicadores</w:t>
      </w:r>
    </w:p>
    <w:p>
      <w:r>
        <w:rPr>
          <w:b w:val="0"/>
          <w:sz w:val="22"/>
        </w:rPr>
        <w:t>Cualquier indicador marcado en ROJO (CRÍTICO) o AMARILLO (ALERTA) requiere revisión. Consulte la Sección 2 de esta guía para los umbrales exactos.</w:t>
      </w:r>
    </w:p>
    <w:p/>
    <w:p>
      <w:r>
        <w:rPr>
          <w:b/>
          <w:sz w:val="22"/>
        </w:rPr>
        <w:t>Paso 5 — Profundice con IA</w:t>
      </w:r>
    </w:p>
    <w:p>
      <w:r>
        <w:rPr>
          <w:b w:val="0"/>
          <w:sz w:val="22"/>
        </w:rPr>
        <w:t>En Inteligencia, use el botón «Análisis Profundo» para obtener un diagnóstico estratégico de la selección actual. En Milo AI, escriba su consulta en lenguaje natural.</w:t>
      </w:r>
    </w:p>
    <w:p/>
    <w:p>
      <w:r>
        <w:rPr>
          <w:b/>
          <w:sz w:val="22"/>
        </w:rPr>
        <w:t>Paso 6 — Registre acciones en GNA</w:t>
      </w:r>
    </w:p>
    <w:p>
      <w:r>
        <w:rPr>
          <w:b w:val="0"/>
          <w:sz w:val="22"/>
        </w:rPr>
        <w:t>Si detecta un caso que requiere seguimiento, créelo en GNA con la alerta vinculada, asígnelo a un fiscalizador y registre los comentarios relevantes.</w:t>
      </w:r>
    </w:p>
    <w:p/>
    <w:p>
      <w:pPr>
        <w:pStyle w:val="Heading1"/>
        <w:jc w:val="left"/>
      </w:pPr>
      <w:r>
        <w:rPr>
          <w:color w:val="1F3964"/>
        </w:rPr>
        <w:t>6. Soporte y Contacto</w:t>
      </w:r>
    </w:p>
    <w:p>
      <w:r>
        <w:rPr>
          <w:b w:val="0"/>
          <w:sz w:val="22"/>
        </w:rPr>
        <w:t>Para consultas técnicas, errores en los datos o solicitudes de acceso, contacte al equipo de soporte DataMate Edu a través de los canales institucionales habilitados por la Superintendencia de Educación.</w:t>
      </w:r>
    </w:p>
    <w:p/>
    <w:p>
      <w:r>
        <w:rPr>
          <w:b/>
          <w:sz w:val="22"/>
        </w:rPr>
        <w:t>Información de soporte:</w:t>
      </w:r>
    </w:p>
    <w:p>
      <w:pPr>
        <w:pStyle w:val="ListBullet"/>
      </w:pPr>
      <w:r>
        <w:rPr>
          <w:sz w:val="21"/>
        </w:rPr>
        <w:t>Correo: soporte.datamate@supereduc.cl</w:t>
      </w:r>
    </w:p>
    <w:p>
      <w:pPr>
        <w:pStyle w:val="ListBullet"/>
      </w:pPr>
      <w:r>
        <w:rPr>
          <w:sz w:val="21"/>
        </w:rPr>
        <w:t>Mesa de ayuda interna: ticket vía sistema GLPI institucional.</w:t>
      </w:r>
    </w:p>
    <w:p>
      <w:pPr>
        <w:pStyle w:val="ListBullet"/>
      </w:pPr>
      <w:r>
        <w:rPr>
          <w:sz w:val="21"/>
        </w:rPr>
        <w:t>Horario de atención: lunes a viernes 09:00–18:00 hrs.</w:t>
      </w:r>
    </w:p>
    <w:p/>
    <w:p>
      <w:r>
        <w:rPr>
          <w:b w:val="0"/>
          <w:sz w:val="20"/>
        </w:rPr>
        <w:t>Para reportar inconsistencias en los umbrales o solicitar ajustes en los cálculos, contacte directamente al equipo de Analítica Financiera de la División de Fiscalización.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