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09A" w:rsidRDefault="000369F3">
      <w:r>
        <w:t>REDMOND, OREGON</w:t>
      </w:r>
    </w:p>
    <w:p w:rsidR="000369F3" w:rsidRDefault="000369F3"/>
    <w:p w:rsidR="00386FA5" w:rsidRDefault="000369F3" w:rsidP="000369F3">
      <w:r>
        <w:t xml:space="preserve">Redmond is a city in Deschutes County, Oregon, United States. </w:t>
      </w:r>
      <w:r w:rsidR="003E167C">
        <w:t>Not to be confused with another city of the exact same name in the state of Washington, Redmond</w:t>
      </w:r>
      <w:r>
        <w:t xml:space="preserve"> is </w:t>
      </w:r>
      <w:r w:rsidR="003E167C">
        <w:t xml:space="preserve">located </w:t>
      </w:r>
      <w:r>
        <w:t>on the easte</w:t>
      </w:r>
      <w:r w:rsidR="003E167C">
        <w:t xml:space="preserve">rn lee of the Cascades, </w:t>
      </w:r>
      <w:r>
        <w:t xml:space="preserve">in the High Desert in </w:t>
      </w:r>
      <w:r w:rsidR="003E167C">
        <w:t>c</w:t>
      </w:r>
      <w:r>
        <w:t xml:space="preserve">entral Oregon. </w:t>
      </w:r>
      <w:r w:rsidR="003E167C">
        <w:t>Redmond is known for its</w:t>
      </w:r>
      <w:r>
        <w:t xml:space="preserve"> recreation</w:t>
      </w:r>
      <w:r w:rsidR="003E167C">
        <w:t xml:space="preserve"> scenes</w:t>
      </w:r>
      <w:r>
        <w:t>, including fishing, hiking, camping, rock climbing</w:t>
      </w:r>
      <w:r w:rsidR="003E167C">
        <w:t xml:space="preserve"> and white-water rafting.</w:t>
      </w:r>
      <w:r>
        <w:t xml:space="preserve"> </w:t>
      </w:r>
      <w:r w:rsidR="00122C1F" w:rsidRPr="00122C1F">
        <w:t>Situated at an elevation of 3,077 feet</w:t>
      </w:r>
      <w:r w:rsidR="00386FA5">
        <w:t>.</w:t>
      </w:r>
    </w:p>
    <w:p w:rsidR="00386FA5" w:rsidRDefault="00386FA5" w:rsidP="000369F3"/>
    <w:p w:rsidR="000369F3" w:rsidRDefault="000369F3" w:rsidP="000369F3">
      <w:r>
        <w:t>Redmond is one of the fastest-growing industrial and residential communities in Oregon. Redmond had a population of 26,215 in 2010, and the population continues to grow at a rate of about 8 percent each year.</w:t>
      </w:r>
    </w:p>
    <w:p w:rsidR="000369F3" w:rsidRDefault="000369F3" w:rsidP="000369F3"/>
    <w:p w:rsidR="000369F3" w:rsidRDefault="000369F3" w:rsidP="000369F3">
      <w:r>
        <w:t>Redmond is 15 miles north of Bend, 144 miles from Portland, and 129 miles from Salem and 126 miles from Eugene.</w:t>
      </w:r>
    </w:p>
    <w:p w:rsidR="000369F3" w:rsidRDefault="000369F3"/>
    <w:p w:rsidR="000369F3" w:rsidRDefault="000369F3">
      <w:r>
        <w:t>WHAT IS WALKABILITY?</w:t>
      </w:r>
    </w:p>
    <w:p w:rsidR="000369F3" w:rsidRDefault="000369F3"/>
    <w:p w:rsidR="000369F3" w:rsidRDefault="000369F3">
      <w:r>
        <w:t xml:space="preserve">Walkability is a quantitative and qualitative measurement of how </w:t>
      </w:r>
      <w:r w:rsidR="00122C1F">
        <w:t>attractive or unappealing</w:t>
      </w:r>
      <w:r>
        <w:t xml:space="preserve"> an area is to pedestrians. Walking matters more and more to towns and cities as the connection between walking and socially vibrant neighborhoods is becoming clearer. Built environments that promote and facilitate walking - to stores, work, school and amenities – are better places to live, have higher real estate values, promote healthier lifestyles and have higher levels of social cohesion.</w:t>
      </w:r>
    </w:p>
    <w:p w:rsidR="000369F3" w:rsidRDefault="000369F3"/>
    <w:p w:rsidR="000369F3" w:rsidRDefault="000369F3">
      <w:r>
        <w:t>WHAT AFFECTS WALKABILITY?</w:t>
      </w:r>
    </w:p>
    <w:p w:rsidR="000369F3" w:rsidRDefault="000369F3" w:rsidP="000369F3"/>
    <w:p w:rsidR="000369F3" w:rsidRDefault="000369F3" w:rsidP="000369F3">
      <w:r>
        <w:t>Getting people walking and biking – practicing active forms of transportation – is essential to finding solutions for some of the biggest challenges of our time. But while recognizing the importance of walking and biking is one matter, actually getting more people to walk and bike is another.</w:t>
      </w:r>
    </w:p>
    <w:p w:rsidR="000369F3" w:rsidRDefault="000369F3" w:rsidP="000369F3"/>
    <w:p w:rsidR="000369F3" w:rsidRDefault="000369F3" w:rsidP="000369F3">
      <w:r>
        <w:t>One critical first step in promoting walking and biking is to identify the factors that influence people’s decisions to bike, walk, take transit, and/or drive.</w:t>
      </w:r>
    </w:p>
    <w:p w:rsidR="003C00F9" w:rsidRDefault="003C00F9" w:rsidP="000369F3"/>
    <w:p w:rsidR="003C00F9" w:rsidRDefault="003C00F9" w:rsidP="000369F3">
      <w:r>
        <w:t>WHAT ARE THOSE FACTORS?</w:t>
      </w:r>
    </w:p>
    <w:p w:rsidR="000369F3" w:rsidRDefault="000369F3" w:rsidP="000369F3"/>
    <w:p w:rsidR="000369F3" w:rsidRDefault="000369F3" w:rsidP="000369F3">
      <w:r>
        <w:t>This project focuses on eight out of the numerous factors that affect degree of walkability.</w:t>
      </w:r>
    </w:p>
    <w:p w:rsidR="000369F3" w:rsidRDefault="000369F3" w:rsidP="000369F3"/>
    <w:p w:rsidR="000369F3" w:rsidRDefault="000369F3" w:rsidP="000369F3">
      <w:r>
        <w:t>FACTOR #1: DWELLING DENSITY</w:t>
      </w:r>
    </w:p>
    <w:p w:rsidR="00B23EE0" w:rsidRDefault="00B23EE0" w:rsidP="000369F3">
      <w:r>
        <w:t>P</w:t>
      </w:r>
      <w:r w:rsidRPr="00B23EE0">
        <w:t xml:space="preserve">eople </w:t>
      </w:r>
      <w:r w:rsidR="00B2610D">
        <w:t>prefer to</w:t>
      </w:r>
      <w:r w:rsidRPr="00B23EE0">
        <w:t xml:space="preserve"> walk instead of driving if they live in</w:t>
      </w:r>
      <w:r w:rsidR="00B2610D">
        <w:t xml:space="preserve"> a</w:t>
      </w:r>
      <w:r w:rsidRPr="00B23EE0">
        <w:t xml:space="preserve"> </w:t>
      </w:r>
      <w:r w:rsidR="00B2610D">
        <w:t xml:space="preserve">dense residential area </w:t>
      </w:r>
      <w:r w:rsidRPr="00B23EE0">
        <w:t xml:space="preserve">where travel by automobile is </w:t>
      </w:r>
      <w:r>
        <w:t xml:space="preserve">often </w:t>
      </w:r>
      <w:r w:rsidR="00B2610D" w:rsidRPr="00B23EE0">
        <w:t>delaye</w:t>
      </w:r>
      <w:r w:rsidR="00B2610D">
        <w:t>d</w:t>
      </w:r>
      <w:r w:rsidRPr="00B23EE0">
        <w:t xml:space="preserve"> </w:t>
      </w:r>
      <w:r>
        <w:t xml:space="preserve">by </w:t>
      </w:r>
      <w:r w:rsidR="00B2610D">
        <w:t xml:space="preserve">traffic </w:t>
      </w:r>
      <w:r>
        <w:t>congestion and lack of parki</w:t>
      </w:r>
      <w:r w:rsidRPr="00B23EE0">
        <w:t xml:space="preserve">ng space. </w:t>
      </w:r>
      <w:r>
        <w:t xml:space="preserve">High residential </w:t>
      </w:r>
      <w:r w:rsidRPr="00B23EE0">
        <w:t>density also is the conventional theory that supports the decrease of trip distance, increas</w:t>
      </w:r>
      <w:r>
        <w:t>e in walking activities and decline in ove</w:t>
      </w:r>
      <w:r w:rsidRPr="00B23EE0">
        <w:t xml:space="preserve">rall automobile </w:t>
      </w:r>
      <w:r>
        <w:t>use.</w:t>
      </w:r>
    </w:p>
    <w:p w:rsidR="000369F3" w:rsidRDefault="000369F3" w:rsidP="000369F3"/>
    <w:p w:rsidR="000369F3" w:rsidRDefault="000369F3" w:rsidP="000369F3">
      <w:r>
        <w:t>FACTOR #2: SIDEWALK DENSITY</w:t>
      </w:r>
    </w:p>
    <w:p w:rsidR="00EC149B" w:rsidRDefault="00EC149B" w:rsidP="00EC149B">
      <w:r>
        <w:t xml:space="preserve">Given the importance of sidewalks for promoting walking as a safe and viable mode of </w:t>
      </w:r>
      <w:r w:rsidR="00B2610D">
        <w:t>commuting</w:t>
      </w:r>
      <w:r>
        <w:t xml:space="preserve">, sidewalk density is </w:t>
      </w:r>
      <w:r w:rsidR="00B2610D">
        <w:t xml:space="preserve">definitely </w:t>
      </w:r>
      <w:r w:rsidR="00B12E43">
        <w:t>a</w:t>
      </w:r>
      <w:r>
        <w:t xml:space="preserve"> </w:t>
      </w:r>
      <w:r w:rsidR="00B12E43">
        <w:t>key</w:t>
      </w:r>
      <w:r>
        <w:t xml:space="preserve"> factor. In neighborhoods with streets that have </w:t>
      </w:r>
      <w:r w:rsidR="00B2610D">
        <w:lastRenderedPageBreak/>
        <w:t>heavy</w:t>
      </w:r>
      <w:r>
        <w:t xml:space="preserve"> traffic and high</w:t>
      </w:r>
      <w:r w:rsidR="00B2610D">
        <w:t xml:space="preserve"> speed limits</w:t>
      </w:r>
      <w:r>
        <w:t xml:space="preserve">, walking may be </w:t>
      </w:r>
      <w:r w:rsidR="00B2610D">
        <w:t>rather</w:t>
      </w:r>
      <w:r>
        <w:t xml:space="preserve"> </w:t>
      </w:r>
      <w:r w:rsidR="00B2610D">
        <w:t>dangerous</w:t>
      </w:r>
      <w:r>
        <w:t xml:space="preserve"> and </w:t>
      </w:r>
      <w:r w:rsidR="00B2610D">
        <w:t>challenging</w:t>
      </w:r>
      <w:r>
        <w:t xml:space="preserve"> for most </w:t>
      </w:r>
      <w:r w:rsidR="00B2610D">
        <w:t xml:space="preserve">pedestrians if </w:t>
      </w:r>
      <w:r>
        <w:t>sidewalks</w:t>
      </w:r>
      <w:r w:rsidR="00B2610D">
        <w:t xml:space="preserve"> are absent. </w:t>
      </w:r>
      <w:r w:rsidR="00C63760">
        <w:t>Therefore extending</w:t>
      </w:r>
      <w:r>
        <w:t xml:space="preserve"> sidewalk coverage should be </w:t>
      </w:r>
      <w:r w:rsidR="00B2610D">
        <w:t>regarded</w:t>
      </w:r>
      <w:r>
        <w:t xml:space="preserve"> as a high priority</w:t>
      </w:r>
      <w:r w:rsidR="00B2610D">
        <w:t xml:space="preserve"> in these neighborhoods</w:t>
      </w:r>
      <w:r w:rsidR="00B12E43">
        <w:t>, prompting</w:t>
      </w:r>
      <w:r>
        <w:t xml:space="preserve"> the planners to prioritize investments in neighborhoods where sidewalks are essential. </w:t>
      </w:r>
      <w:r w:rsidR="00B12E43">
        <w:t xml:space="preserve">More importantly is that sidewalks are an essential facility for people with disabilities and less abled people </w:t>
      </w:r>
      <w:r>
        <w:t>w</w:t>
      </w:r>
      <w:r w:rsidR="00B12E43">
        <w:t>ho would find</w:t>
      </w:r>
      <w:r>
        <w:t xml:space="preserve"> walking in the street </w:t>
      </w:r>
      <w:r w:rsidR="00B12E43">
        <w:t>an impractical</w:t>
      </w:r>
      <w:r>
        <w:t xml:space="preserve"> option.</w:t>
      </w:r>
    </w:p>
    <w:p w:rsidR="000369F3" w:rsidRDefault="000369F3" w:rsidP="000369F3"/>
    <w:p w:rsidR="000369F3" w:rsidRDefault="000369F3" w:rsidP="000369F3">
      <w:r>
        <w:t>FACTOR #3: SERVICE PROXIMITY</w:t>
      </w:r>
    </w:p>
    <w:p w:rsidR="0063409E" w:rsidRDefault="00C876B3" w:rsidP="000369F3">
      <w:r>
        <w:t>W</w:t>
      </w:r>
      <w:r w:rsidRPr="00C876B3">
        <w:t xml:space="preserve">alkability is </w:t>
      </w:r>
      <w:r>
        <w:t>often measured</w:t>
      </w:r>
      <w:r w:rsidRPr="00C876B3">
        <w:t xml:space="preserve"> by how many services and shops </w:t>
      </w:r>
      <w:r>
        <w:t xml:space="preserve">pedestrians </w:t>
      </w:r>
      <w:r w:rsidRPr="00C876B3">
        <w:t xml:space="preserve">can access from where </w:t>
      </w:r>
      <w:r>
        <w:t xml:space="preserve">they </w:t>
      </w:r>
      <w:r w:rsidRPr="00C876B3">
        <w:t>live.</w:t>
      </w:r>
      <w:r>
        <w:t xml:space="preserve"> </w:t>
      </w:r>
      <w:r w:rsidR="0083109B">
        <w:t>Places</w:t>
      </w:r>
      <w:r>
        <w:t xml:space="preserve"> with c</w:t>
      </w:r>
      <w:r w:rsidR="0063409E">
        <w:t>oncentrat</w:t>
      </w:r>
      <w:r>
        <w:t xml:space="preserve">ed </w:t>
      </w:r>
      <w:r w:rsidR="0063409E">
        <w:t xml:space="preserve">commercial uses </w:t>
      </w:r>
      <w:r w:rsidR="0083109B">
        <w:t>creates areas</w:t>
      </w:r>
      <w:r w:rsidR="0063409E">
        <w:t xml:space="preserve"> where residents can </w:t>
      </w:r>
      <w:r w:rsidR="0083109B">
        <w:t xml:space="preserve">participate in </w:t>
      </w:r>
      <w:r w:rsidR="0063409E">
        <w:t xml:space="preserve">economic activities </w:t>
      </w:r>
      <w:r w:rsidR="0083109B">
        <w:t>by walking</w:t>
      </w:r>
      <w:r w:rsidR="0063409E">
        <w:t>.</w:t>
      </w:r>
      <w:r>
        <w:t xml:space="preserve"> If </w:t>
      </w:r>
      <w:r w:rsidRPr="00C876B3">
        <w:t>all services in a</w:t>
      </w:r>
      <w:r w:rsidR="0083109B">
        <w:t xml:space="preserve"> particular</w:t>
      </w:r>
      <w:r w:rsidRPr="00C876B3">
        <w:t xml:space="preserve"> area are </w:t>
      </w:r>
      <w:r w:rsidR="0083109B">
        <w:t xml:space="preserve">scattered far apart, it makes it impractical for </w:t>
      </w:r>
      <w:r>
        <w:t>pedestrians</w:t>
      </w:r>
      <w:r w:rsidRPr="00C876B3">
        <w:t xml:space="preserve"> </w:t>
      </w:r>
      <w:r w:rsidR="0083109B">
        <w:t>to walk from one to another and</w:t>
      </w:r>
      <w:r>
        <w:t xml:space="preserve"> it is</w:t>
      </w:r>
      <w:r w:rsidRPr="00C876B3">
        <w:t xml:space="preserve"> likely the area would be </w:t>
      </w:r>
      <w:r>
        <w:t xml:space="preserve">less </w:t>
      </w:r>
      <w:r w:rsidRPr="00C876B3">
        <w:t>walkable</w:t>
      </w:r>
      <w:r>
        <w:t>. In this analysis, the term “service” includes schools, stores, parks and facilities like hospital.</w:t>
      </w:r>
    </w:p>
    <w:p w:rsidR="000369F3" w:rsidRDefault="000369F3" w:rsidP="000369F3"/>
    <w:p w:rsidR="000369F3" w:rsidRDefault="000369F3" w:rsidP="000369F3">
      <w:r>
        <w:t>FACTOR #4: TERRAIN CONVENIENCE</w:t>
      </w:r>
    </w:p>
    <w:p w:rsidR="008354D0" w:rsidRDefault="0083109B" w:rsidP="000369F3">
      <w:r>
        <w:t xml:space="preserve">Typically </w:t>
      </w:r>
      <w:r w:rsidR="008354D0">
        <w:t>the difference between going uphill and downhill is not noticeable when walking</w:t>
      </w:r>
      <w:r>
        <w:t xml:space="preserve"> on </w:t>
      </w:r>
      <w:r w:rsidRPr="0083109B">
        <w:t>a street with a slope of 2% or less</w:t>
      </w:r>
      <w:r w:rsidR="008354D0">
        <w:t xml:space="preserve">. Nevertheless, since the threshold of steepness of </w:t>
      </w:r>
      <w:r>
        <w:t>a</w:t>
      </w:r>
      <w:r w:rsidR="008354D0">
        <w:t xml:space="preserve"> terrain is a rather subjective dimension, the general rule</w:t>
      </w:r>
      <w:r>
        <w:t xml:space="preserve"> lingers</w:t>
      </w:r>
      <w:r w:rsidR="008354D0">
        <w:t xml:space="preserve">: the flatter the walk can be, the more activity you can expect to see along it. In many </w:t>
      </w:r>
      <w:r>
        <w:t>cities</w:t>
      </w:r>
      <w:r w:rsidR="008354D0">
        <w:t>,</w:t>
      </w:r>
      <w:r w:rsidR="008354D0" w:rsidRPr="008354D0">
        <w:t xml:space="preserve"> businesses</w:t>
      </w:r>
      <w:r w:rsidR="008354D0">
        <w:t xml:space="preserve"> and commercial services tend </w:t>
      </w:r>
      <w:r>
        <w:t>to focus</w:t>
      </w:r>
      <w:r w:rsidR="008354D0" w:rsidRPr="008354D0">
        <w:t xml:space="preserve"> </w:t>
      </w:r>
      <w:r>
        <w:t>on</w:t>
      </w:r>
      <w:r w:rsidR="008354D0" w:rsidRPr="008354D0">
        <w:t xml:space="preserve"> relatively flat </w:t>
      </w:r>
      <w:r>
        <w:t>areas.</w:t>
      </w:r>
    </w:p>
    <w:p w:rsidR="000369F3" w:rsidRDefault="000369F3" w:rsidP="000369F3"/>
    <w:p w:rsidR="000369F3" w:rsidRDefault="000369F3" w:rsidP="000369F3">
      <w:r>
        <w:t>FACTOR #5: LAND USE MIX</w:t>
      </w:r>
    </w:p>
    <w:p w:rsidR="00B23EE0" w:rsidRDefault="00B23EE0" w:rsidP="00B23EE0">
      <w:r>
        <w:t xml:space="preserve">More land use mix means more </w:t>
      </w:r>
      <w:r w:rsidR="000A1769">
        <w:t>diverse</w:t>
      </w:r>
      <w:r>
        <w:t xml:space="preserve"> and </w:t>
      </w:r>
      <w:r w:rsidR="000A1769">
        <w:t>fascinating</w:t>
      </w:r>
      <w:r>
        <w:t xml:space="preserve"> built environment, </w:t>
      </w:r>
      <w:r w:rsidR="000A1769">
        <w:t>forming</w:t>
      </w:r>
      <w:r>
        <w:t xml:space="preserve"> neighborhoods conducive to walking. Pedestrians prefer to</w:t>
      </w:r>
      <w:r w:rsidRPr="00B23EE0">
        <w:t xml:space="preserve"> walk when th</w:t>
      </w:r>
      <w:r>
        <w:t xml:space="preserve">ey are attracted to mixed </w:t>
      </w:r>
      <w:r w:rsidRPr="00B23EE0">
        <w:t xml:space="preserve">used urban districts where there is </w:t>
      </w:r>
      <w:r>
        <w:t xml:space="preserve">variety of </w:t>
      </w:r>
      <w:r w:rsidRPr="00B23EE0">
        <w:t>activit</w:t>
      </w:r>
      <w:r>
        <w:t>ies</w:t>
      </w:r>
      <w:r w:rsidRPr="00B23EE0">
        <w:t xml:space="preserve"> </w:t>
      </w:r>
      <w:r w:rsidR="005D6C87">
        <w:t>going on.</w:t>
      </w:r>
      <w:r w:rsidRPr="00B23EE0">
        <w:t xml:space="preserve"> </w:t>
      </w:r>
      <w:r w:rsidR="005D6C87">
        <w:t>For instance, v</w:t>
      </w:r>
      <w:r w:rsidR="005D6C87" w:rsidRPr="005D6C87">
        <w:t xml:space="preserve">ariation of retail services </w:t>
      </w:r>
      <w:r w:rsidR="005D6C87">
        <w:t xml:space="preserve">may </w:t>
      </w:r>
      <w:r w:rsidR="005D6C87" w:rsidRPr="005D6C87">
        <w:t xml:space="preserve">encourage more specialized, frequent, and shorter shopping trips by foot. </w:t>
      </w:r>
      <w:r w:rsidR="00ED4AA9">
        <w:t xml:space="preserve">Mixed land use also could mean the mixture between service and residential areas in a particular parcel of land, which suggests that more people would be willing to walk to their workplace instead of driving. </w:t>
      </w:r>
      <w:r w:rsidR="005D6C87">
        <w:t>On the other hand, p</w:t>
      </w:r>
      <w:r w:rsidRPr="00B23EE0">
        <w:t xml:space="preserve">eople </w:t>
      </w:r>
      <w:r w:rsidR="005D6C87">
        <w:t xml:space="preserve">would be </w:t>
      </w:r>
      <w:r w:rsidRPr="00B23EE0">
        <w:t xml:space="preserve">less willing to walk in </w:t>
      </w:r>
      <w:r w:rsidR="005D6C87">
        <w:t>places like</w:t>
      </w:r>
      <w:r w:rsidRPr="00B23EE0">
        <w:t xml:space="preserve"> industrial areas</w:t>
      </w:r>
      <w:r w:rsidR="005D6C87">
        <w:t>, where everything is far apart</w:t>
      </w:r>
      <w:r>
        <w:t xml:space="preserve"> and t</w:t>
      </w:r>
      <w:r w:rsidRPr="00B23EE0">
        <w:t xml:space="preserve">he view is </w:t>
      </w:r>
      <w:r w:rsidR="005D6C87">
        <w:t xml:space="preserve">dull and </w:t>
      </w:r>
      <w:r w:rsidRPr="00B23EE0">
        <w:t>monotonous</w:t>
      </w:r>
      <w:r>
        <w:t>.</w:t>
      </w:r>
    </w:p>
    <w:p w:rsidR="000369F3" w:rsidRDefault="00B23EE0" w:rsidP="00B23EE0">
      <w:r>
        <w:t>.</w:t>
      </w:r>
    </w:p>
    <w:p w:rsidR="000369F3" w:rsidRDefault="000369F3" w:rsidP="000369F3">
      <w:r>
        <w:t>FACTOR #6: PERCEIVED SAFETY</w:t>
      </w:r>
    </w:p>
    <w:p w:rsidR="00B23EE0" w:rsidRDefault="00223102" w:rsidP="000369F3">
      <w:r>
        <w:t xml:space="preserve">Perceived safety is one of the more multidimensional factors in determining walkability. The term safety itself has several facets to it. </w:t>
      </w:r>
      <w:r w:rsidRPr="00223102">
        <w:t>Sense of lack of pedestrian safety encourages more protected automobile use and alternate transportation method.</w:t>
      </w:r>
      <w:r>
        <w:t xml:space="preserve"> In walkability studies, perceived safety typically relates to the danger that may affect pedestrians such as heavy traffic, speed limit, crime density and well-lit streets coverage. For this map, we only address one component of perceived safety which is the speed limit of the streets. </w:t>
      </w:r>
    </w:p>
    <w:p w:rsidR="000369F3" w:rsidRDefault="000369F3" w:rsidP="000369F3"/>
    <w:p w:rsidR="000369F3" w:rsidRDefault="000369F3" w:rsidP="000369F3">
      <w:r>
        <w:t>FACTOR #7: STREET CONNECTIVITY</w:t>
      </w:r>
    </w:p>
    <w:p w:rsidR="000369F3" w:rsidRDefault="00EC149B" w:rsidP="000369F3">
      <w:r>
        <w:t xml:space="preserve">The degree to which </w:t>
      </w:r>
      <w:r w:rsidR="00461EAD">
        <w:t xml:space="preserve">urban </w:t>
      </w:r>
      <w:r>
        <w:t xml:space="preserve">streets connect with each other </w:t>
      </w:r>
      <w:r w:rsidR="00461EAD">
        <w:t>plays an important role</w:t>
      </w:r>
      <w:r>
        <w:t xml:space="preserve"> </w:t>
      </w:r>
      <w:r w:rsidR="00461EAD">
        <w:t>i</w:t>
      </w:r>
      <w:r>
        <w:t xml:space="preserve">n </w:t>
      </w:r>
      <w:r w:rsidR="00461EAD">
        <w:t>determining a region’s walkability.</w:t>
      </w:r>
      <w:r w:rsidR="00461EAD" w:rsidRPr="00461EAD">
        <w:t xml:space="preserve"> Street networks with denser intersections and more linear alignments of road segments support greater walking distance threshold.</w:t>
      </w:r>
      <w:r>
        <w:t xml:space="preserve"> </w:t>
      </w:r>
      <w:r w:rsidR="00461EAD">
        <w:t>More</w:t>
      </w:r>
      <w:r>
        <w:t xml:space="preserve"> frequent int</w:t>
      </w:r>
      <w:r w:rsidR="00461EAD">
        <w:t>ersections and smaller block sizes</w:t>
      </w:r>
      <w:r>
        <w:t xml:space="preserve"> </w:t>
      </w:r>
      <w:r w:rsidR="00461EAD">
        <w:t xml:space="preserve">contribute in making walking </w:t>
      </w:r>
      <w:r>
        <w:t>routes more efficient</w:t>
      </w:r>
      <w:r w:rsidR="00457FB9">
        <w:t xml:space="preserve">. Other than shortening driving distances, great street connectivity would allow for </w:t>
      </w:r>
      <w:r>
        <w:t xml:space="preserve">the substitution of </w:t>
      </w:r>
      <w:r>
        <w:lastRenderedPageBreak/>
        <w:t xml:space="preserve">walking or bicycling for some trips that in a disconnected neighborhood </w:t>
      </w:r>
      <w:r w:rsidR="00457FB9">
        <w:t>that would have been made by car.</w:t>
      </w:r>
    </w:p>
    <w:p w:rsidR="00457FB9" w:rsidRDefault="00457FB9" w:rsidP="000369F3"/>
    <w:p w:rsidR="000369F3" w:rsidRDefault="000369F3" w:rsidP="000369F3">
      <w:r>
        <w:t xml:space="preserve">FACTOR #8: </w:t>
      </w:r>
      <w:r w:rsidR="0063409E">
        <w:t>CUL-DE-</w:t>
      </w:r>
      <w:r>
        <w:t>SAC DENSITY</w:t>
      </w:r>
    </w:p>
    <w:p w:rsidR="000256CC" w:rsidRDefault="0063409E" w:rsidP="000369F3">
      <w:r>
        <w:t>Cul-de-</w:t>
      </w:r>
      <w:r w:rsidR="00255B77">
        <w:t>sac density can b</w:t>
      </w:r>
      <w:r>
        <w:t xml:space="preserve">e considered as a </w:t>
      </w:r>
      <w:proofErr w:type="spellStart"/>
      <w:r>
        <w:t>subfactor</w:t>
      </w:r>
      <w:proofErr w:type="spellEnd"/>
      <w:r>
        <w:t xml:space="preserve"> to</w:t>
      </w:r>
      <w:r w:rsidR="00255B77">
        <w:t xml:space="preserve"> street connectivity. </w:t>
      </w:r>
      <w:r>
        <w:t xml:space="preserve">Urban grid is said to be better for pedestrians than cul-de-sacs as it extends street connections. </w:t>
      </w:r>
      <w:r w:rsidR="00255B77">
        <w:t xml:space="preserve">A walkability study </w:t>
      </w:r>
      <w:r w:rsidR="00457FB9">
        <w:t>finds out that people</w:t>
      </w:r>
      <w:r w:rsidR="00255B77">
        <w:t xml:space="preserve"> who live in </w:t>
      </w:r>
      <w:r w:rsidR="00457FB9">
        <w:t xml:space="preserve">neighborhoods </w:t>
      </w:r>
      <w:r>
        <w:t xml:space="preserve">with linear street alignments drove </w:t>
      </w:r>
      <w:r w:rsidR="00255B77">
        <w:t xml:space="preserve">26% fewer miles than those </w:t>
      </w:r>
      <w:r>
        <w:t>in cul-d</w:t>
      </w:r>
      <w:r w:rsidR="00457FB9">
        <w:t>e-sac-based neighborhoods</w:t>
      </w:r>
      <w:r>
        <w:t xml:space="preserve">. </w:t>
      </w:r>
      <w:r w:rsidR="00457FB9">
        <w:t>This explains why w</w:t>
      </w:r>
      <w:r w:rsidRPr="0063409E">
        <w:t>al</w:t>
      </w:r>
      <w:r w:rsidR="00457FB9">
        <w:t xml:space="preserve">kability tends to be highest in city areas where </w:t>
      </w:r>
      <w:r w:rsidRPr="0063409E">
        <w:t xml:space="preserve">the streets form a </w:t>
      </w:r>
      <w:r w:rsidR="00457FB9">
        <w:t xml:space="preserve">uniform </w:t>
      </w:r>
      <w:r w:rsidRPr="0063409E">
        <w:t xml:space="preserve">grid pattern, and cul-de-sacs and dead ends are less likely to </w:t>
      </w:r>
      <w:r w:rsidR="00457FB9" w:rsidRPr="0063409E">
        <w:t>come about</w:t>
      </w:r>
      <w:r w:rsidRPr="0063409E">
        <w:t>.</w:t>
      </w:r>
    </w:p>
    <w:p w:rsidR="0063409E" w:rsidRDefault="0063409E" w:rsidP="000369F3"/>
    <w:p w:rsidR="000256CC" w:rsidRDefault="000256CC" w:rsidP="000369F3">
      <w:r>
        <w:t xml:space="preserve">SUMMING UP </w:t>
      </w:r>
    </w:p>
    <w:p w:rsidR="000256CC" w:rsidRDefault="00EF7199" w:rsidP="000369F3">
      <w:r>
        <w:t xml:space="preserve">For this map, </w:t>
      </w:r>
      <w:bookmarkStart w:id="0" w:name="_GoBack"/>
      <w:r>
        <w:t>the score for each of the walkability factor are added up together to form a composite total walkability score. Hexagons with total walkability scores of 6-10 can be considered as walkable, and those with scores 0-5 are relatively less walkable.</w:t>
      </w:r>
      <w:bookmarkEnd w:id="0"/>
    </w:p>
    <w:p w:rsidR="00B2610D" w:rsidRDefault="00B2610D" w:rsidP="000369F3"/>
    <w:p w:rsidR="00B2610D" w:rsidRDefault="00B2610D" w:rsidP="000369F3"/>
    <w:p w:rsidR="000256CC" w:rsidRDefault="000256CC" w:rsidP="000369F3">
      <w:r>
        <w:t>FUTURE DIRECTIONS</w:t>
      </w:r>
    </w:p>
    <w:p w:rsidR="000256CC" w:rsidRDefault="000256CC" w:rsidP="000256CC">
      <w:pPr>
        <w:pStyle w:val="ListParagraph"/>
        <w:numPr>
          <w:ilvl w:val="0"/>
          <w:numId w:val="1"/>
        </w:numPr>
      </w:pPr>
      <w:r>
        <w:t>Add more factors</w:t>
      </w:r>
    </w:p>
    <w:p w:rsidR="000256CC" w:rsidRDefault="000256CC" w:rsidP="000256CC">
      <w:pPr>
        <w:pStyle w:val="ListParagraph"/>
        <w:numPr>
          <w:ilvl w:val="0"/>
          <w:numId w:val="1"/>
        </w:numPr>
      </w:pPr>
      <w:r>
        <w:t>Weighting these factors based on significance</w:t>
      </w:r>
    </w:p>
    <w:p w:rsidR="000256CC" w:rsidRDefault="000256CC" w:rsidP="000256CC">
      <w:pPr>
        <w:pStyle w:val="ListParagraph"/>
        <w:numPr>
          <w:ilvl w:val="0"/>
          <w:numId w:val="1"/>
        </w:numPr>
      </w:pPr>
      <w:r>
        <w:t>Use different city</w:t>
      </w:r>
    </w:p>
    <w:p w:rsidR="000369F3" w:rsidRDefault="000369F3"/>
    <w:sectPr w:rsidR="00036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1B375B"/>
    <w:multiLevelType w:val="hybridMultilevel"/>
    <w:tmpl w:val="0EEAA5A0"/>
    <w:lvl w:ilvl="0" w:tplc="C3E6F73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9F3"/>
    <w:rsid w:val="00000FBF"/>
    <w:rsid w:val="00014ECF"/>
    <w:rsid w:val="000225D6"/>
    <w:rsid w:val="000256CC"/>
    <w:rsid w:val="000266E7"/>
    <w:rsid w:val="000270AD"/>
    <w:rsid w:val="000369F3"/>
    <w:rsid w:val="00081F3C"/>
    <w:rsid w:val="00093F62"/>
    <w:rsid w:val="000A1769"/>
    <w:rsid w:val="000A5F56"/>
    <w:rsid w:val="000B289C"/>
    <w:rsid w:val="000C54A6"/>
    <w:rsid w:val="000C7417"/>
    <w:rsid w:val="000C749A"/>
    <w:rsid w:val="000E049E"/>
    <w:rsid w:val="000E5F8B"/>
    <w:rsid w:val="000F0B5D"/>
    <w:rsid w:val="000F2A97"/>
    <w:rsid w:val="00115A7D"/>
    <w:rsid w:val="00122C1F"/>
    <w:rsid w:val="00124666"/>
    <w:rsid w:val="00127079"/>
    <w:rsid w:val="0014278A"/>
    <w:rsid w:val="00153B3C"/>
    <w:rsid w:val="00164B17"/>
    <w:rsid w:val="001755D9"/>
    <w:rsid w:val="001764AF"/>
    <w:rsid w:val="001821FC"/>
    <w:rsid w:val="0019750F"/>
    <w:rsid w:val="001A67A8"/>
    <w:rsid w:val="001B70E0"/>
    <w:rsid w:val="001C7296"/>
    <w:rsid w:val="001D01D4"/>
    <w:rsid w:val="001D2372"/>
    <w:rsid w:val="001D2BDC"/>
    <w:rsid w:val="001E4EC4"/>
    <w:rsid w:val="001F6262"/>
    <w:rsid w:val="00207FED"/>
    <w:rsid w:val="00222C7A"/>
    <w:rsid w:val="00223102"/>
    <w:rsid w:val="0023440C"/>
    <w:rsid w:val="002405F1"/>
    <w:rsid w:val="00254941"/>
    <w:rsid w:val="00255B77"/>
    <w:rsid w:val="00261F2D"/>
    <w:rsid w:val="00262551"/>
    <w:rsid w:val="00264F19"/>
    <w:rsid w:val="00270D43"/>
    <w:rsid w:val="002907CF"/>
    <w:rsid w:val="002933C6"/>
    <w:rsid w:val="00297900"/>
    <w:rsid w:val="002A237D"/>
    <w:rsid w:val="002C072C"/>
    <w:rsid w:val="002D0B5C"/>
    <w:rsid w:val="002E0FC1"/>
    <w:rsid w:val="00305EB6"/>
    <w:rsid w:val="003126FD"/>
    <w:rsid w:val="00327A30"/>
    <w:rsid w:val="00341D0F"/>
    <w:rsid w:val="00344DF6"/>
    <w:rsid w:val="003547F7"/>
    <w:rsid w:val="00355370"/>
    <w:rsid w:val="00364FEA"/>
    <w:rsid w:val="00365BA5"/>
    <w:rsid w:val="00377AD8"/>
    <w:rsid w:val="00382D56"/>
    <w:rsid w:val="00385F68"/>
    <w:rsid w:val="00386FA5"/>
    <w:rsid w:val="00392378"/>
    <w:rsid w:val="003A2C96"/>
    <w:rsid w:val="003C00F9"/>
    <w:rsid w:val="003D2EA2"/>
    <w:rsid w:val="003E167C"/>
    <w:rsid w:val="003F3D39"/>
    <w:rsid w:val="004070F6"/>
    <w:rsid w:val="0042458F"/>
    <w:rsid w:val="00440165"/>
    <w:rsid w:val="00457FB9"/>
    <w:rsid w:val="00461EAD"/>
    <w:rsid w:val="00462642"/>
    <w:rsid w:val="00463AA1"/>
    <w:rsid w:val="00466018"/>
    <w:rsid w:val="004C0FF6"/>
    <w:rsid w:val="004F1639"/>
    <w:rsid w:val="005040B3"/>
    <w:rsid w:val="00526B0E"/>
    <w:rsid w:val="005313BC"/>
    <w:rsid w:val="00535A7A"/>
    <w:rsid w:val="0055121C"/>
    <w:rsid w:val="0056008B"/>
    <w:rsid w:val="00561A4A"/>
    <w:rsid w:val="00586A8A"/>
    <w:rsid w:val="00597E47"/>
    <w:rsid w:val="005A0279"/>
    <w:rsid w:val="005A1E0B"/>
    <w:rsid w:val="005A7792"/>
    <w:rsid w:val="005B2077"/>
    <w:rsid w:val="005D6C87"/>
    <w:rsid w:val="005D6F34"/>
    <w:rsid w:val="005F0445"/>
    <w:rsid w:val="005F1840"/>
    <w:rsid w:val="005F2A71"/>
    <w:rsid w:val="006109D9"/>
    <w:rsid w:val="00623FBF"/>
    <w:rsid w:val="00633761"/>
    <w:rsid w:val="0063409E"/>
    <w:rsid w:val="0063680F"/>
    <w:rsid w:val="00636C20"/>
    <w:rsid w:val="00652015"/>
    <w:rsid w:val="00654318"/>
    <w:rsid w:val="0065733F"/>
    <w:rsid w:val="00661843"/>
    <w:rsid w:val="00666AB8"/>
    <w:rsid w:val="006B39DD"/>
    <w:rsid w:val="006B5850"/>
    <w:rsid w:val="006C3EE7"/>
    <w:rsid w:val="006F5FAE"/>
    <w:rsid w:val="006F699A"/>
    <w:rsid w:val="00706BDC"/>
    <w:rsid w:val="0070722A"/>
    <w:rsid w:val="00716B19"/>
    <w:rsid w:val="007262FD"/>
    <w:rsid w:val="0073126B"/>
    <w:rsid w:val="00732898"/>
    <w:rsid w:val="00733451"/>
    <w:rsid w:val="007357E1"/>
    <w:rsid w:val="007403D6"/>
    <w:rsid w:val="00740D3D"/>
    <w:rsid w:val="00747A93"/>
    <w:rsid w:val="007574AB"/>
    <w:rsid w:val="00781CD2"/>
    <w:rsid w:val="00782074"/>
    <w:rsid w:val="00796583"/>
    <w:rsid w:val="007C1336"/>
    <w:rsid w:val="007C3485"/>
    <w:rsid w:val="007C3E7A"/>
    <w:rsid w:val="007C722F"/>
    <w:rsid w:val="007D111C"/>
    <w:rsid w:val="007E0021"/>
    <w:rsid w:val="007F0EC0"/>
    <w:rsid w:val="007F1275"/>
    <w:rsid w:val="007F6BB3"/>
    <w:rsid w:val="00823F52"/>
    <w:rsid w:val="008241A3"/>
    <w:rsid w:val="0083109B"/>
    <w:rsid w:val="008328EB"/>
    <w:rsid w:val="008354D0"/>
    <w:rsid w:val="00835E05"/>
    <w:rsid w:val="0087304C"/>
    <w:rsid w:val="00883D61"/>
    <w:rsid w:val="008854EB"/>
    <w:rsid w:val="00894D9C"/>
    <w:rsid w:val="008A397E"/>
    <w:rsid w:val="008A5720"/>
    <w:rsid w:val="008B13E9"/>
    <w:rsid w:val="008D5677"/>
    <w:rsid w:val="00913E65"/>
    <w:rsid w:val="00936D09"/>
    <w:rsid w:val="00936DF3"/>
    <w:rsid w:val="00936E71"/>
    <w:rsid w:val="009461F8"/>
    <w:rsid w:val="00956829"/>
    <w:rsid w:val="00984509"/>
    <w:rsid w:val="009849E8"/>
    <w:rsid w:val="00992E07"/>
    <w:rsid w:val="009A6798"/>
    <w:rsid w:val="009F4FFE"/>
    <w:rsid w:val="009F5296"/>
    <w:rsid w:val="00A14DCF"/>
    <w:rsid w:val="00A4302F"/>
    <w:rsid w:val="00A45503"/>
    <w:rsid w:val="00A54F2C"/>
    <w:rsid w:val="00A6292F"/>
    <w:rsid w:val="00A710AB"/>
    <w:rsid w:val="00A77806"/>
    <w:rsid w:val="00A801A5"/>
    <w:rsid w:val="00AA7FFA"/>
    <w:rsid w:val="00AD0FF4"/>
    <w:rsid w:val="00AD27F7"/>
    <w:rsid w:val="00AE319F"/>
    <w:rsid w:val="00B066D9"/>
    <w:rsid w:val="00B12E43"/>
    <w:rsid w:val="00B1722A"/>
    <w:rsid w:val="00B23EE0"/>
    <w:rsid w:val="00B2610D"/>
    <w:rsid w:val="00B26579"/>
    <w:rsid w:val="00B303D6"/>
    <w:rsid w:val="00B40899"/>
    <w:rsid w:val="00B46010"/>
    <w:rsid w:val="00B5509A"/>
    <w:rsid w:val="00B65155"/>
    <w:rsid w:val="00B6588E"/>
    <w:rsid w:val="00B92645"/>
    <w:rsid w:val="00BA4A50"/>
    <w:rsid w:val="00BC2053"/>
    <w:rsid w:val="00BC4736"/>
    <w:rsid w:val="00BE5628"/>
    <w:rsid w:val="00BF01EE"/>
    <w:rsid w:val="00BF3E0B"/>
    <w:rsid w:val="00BF746F"/>
    <w:rsid w:val="00C1263D"/>
    <w:rsid w:val="00C15E13"/>
    <w:rsid w:val="00C170C6"/>
    <w:rsid w:val="00C27F5E"/>
    <w:rsid w:val="00C37703"/>
    <w:rsid w:val="00C37F28"/>
    <w:rsid w:val="00C418BA"/>
    <w:rsid w:val="00C52F04"/>
    <w:rsid w:val="00C53596"/>
    <w:rsid w:val="00C63760"/>
    <w:rsid w:val="00C72C68"/>
    <w:rsid w:val="00C77A73"/>
    <w:rsid w:val="00C876B3"/>
    <w:rsid w:val="00C96C41"/>
    <w:rsid w:val="00CA7972"/>
    <w:rsid w:val="00CB0F1E"/>
    <w:rsid w:val="00CB4C71"/>
    <w:rsid w:val="00CB5396"/>
    <w:rsid w:val="00CB6A80"/>
    <w:rsid w:val="00CE0E1F"/>
    <w:rsid w:val="00CE1632"/>
    <w:rsid w:val="00CE6222"/>
    <w:rsid w:val="00CE740F"/>
    <w:rsid w:val="00CF33FC"/>
    <w:rsid w:val="00D07A76"/>
    <w:rsid w:val="00D13D47"/>
    <w:rsid w:val="00D15153"/>
    <w:rsid w:val="00D16239"/>
    <w:rsid w:val="00D1768B"/>
    <w:rsid w:val="00D1795C"/>
    <w:rsid w:val="00D522BA"/>
    <w:rsid w:val="00D565C8"/>
    <w:rsid w:val="00D57D15"/>
    <w:rsid w:val="00D63954"/>
    <w:rsid w:val="00D85DC5"/>
    <w:rsid w:val="00D87847"/>
    <w:rsid w:val="00D9400E"/>
    <w:rsid w:val="00DA71F4"/>
    <w:rsid w:val="00DC3D7D"/>
    <w:rsid w:val="00DD633F"/>
    <w:rsid w:val="00DE0E1B"/>
    <w:rsid w:val="00DF7DFE"/>
    <w:rsid w:val="00E01ED7"/>
    <w:rsid w:val="00E021E8"/>
    <w:rsid w:val="00E077C8"/>
    <w:rsid w:val="00E10DAF"/>
    <w:rsid w:val="00E43107"/>
    <w:rsid w:val="00E43308"/>
    <w:rsid w:val="00E5169C"/>
    <w:rsid w:val="00E55A5E"/>
    <w:rsid w:val="00E65283"/>
    <w:rsid w:val="00E66012"/>
    <w:rsid w:val="00E763EF"/>
    <w:rsid w:val="00E84562"/>
    <w:rsid w:val="00EA552D"/>
    <w:rsid w:val="00EB2B2E"/>
    <w:rsid w:val="00EC149B"/>
    <w:rsid w:val="00ED4AA9"/>
    <w:rsid w:val="00ED52F6"/>
    <w:rsid w:val="00EF7199"/>
    <w:rsid w:val="00F02D0D"/>
    <w:rsid w:val="00F10A8C"/>
    <w:rsid w:val="00F32863"/>
    <w:rsid w:val="00F4161C"/>
    <w:rsid w:val="00F41B2D"/>
    <w:rsid w:val="00F47EA8"/>
    <w:rsid w:val="00F50163"/>
    <w:rsid w:val="00F63DBF"/>
    <w:rsid w:val="00F84F0B"/>
    <w:rsid w:val="00FB516A"/>
    <w:rsid w:val="00FB57CC"/>
    <w:rsid w:val="00FD4E8C"/>
    <w:rsid w:val="00FD64B8"/>
    <w:rsid w:val="00FD7EFD"/>
    <w:rsid w:val="00FF0FC4"/>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60CBB-FADF-4BC2-BED2-9D05D271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A30"/>
    <w:pPr>
      <w:spacing w:after="0"/>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00490">
      <w:bodyDiv w:val="1"/>
      <w:marLeft w:val="0"/>
      <w:marRight w:val="0"/>
      <w:marTop w:val="0"/>
      <w:marBottom w:val="0"/>
      <w:divBdr>
        <w:top w:val="none" w:sz="0" w:space="0" w:color="auto"/>
        <w:left w:val="none" w:sz="0" w:space="0" w:color="auto"/>
        <w:bottom w:val="none" w:sz="0" w:space="0" w:color="auto"/>
        <w:right w:val="none" w:sz="0" w:space="0" w:color="auto"/>
      </w:divBdr>
      <w:divsChild>
        <w:div w:id="1337853230">
          <w:marLeft w:val="0"/>
          <w:marRight w:val="0"/>
          <w:marTop w:val="0"/>
          <w:marBottom w:val="0"/>
          <w:divBdr>
            <w:top w:val="none" w:sz="0" w:space="0" w:color="auto"/>
            <w:left w:val="none" w:sz="0" w:space="0" w:color="auto"/>
            <w:bottom w:val="none" w:sz="0" w:space="0" w:color="auto"/>
            <w:right w:val="none" w:sz="0" w:space="0" w:color="auto"/>
          </w:divBdr>
        </w:div>
        <w:div w:id="980572955">
          <w:marLeft w:val="0"/>
          <w:marRight w:val="0"/>
          <w:marTop w:val="0"/>
          <w:marBottom w:val="0"/>
          <w:divBdr>
            <w:top w:val="none" w:sz="0" w:space="0" w:color="auto"/>
            <w:left w:val="none" w:sz="0" w:space="0" w:color="auto"/>
            <w:bottom w:val="none" w:sz="0" w:space="0" w:color="auto"/>
            <w:right w:val="none" w:sz="0" w:space="0" w:color="auto"/>
          </w:divBdr>
        </w:div>
        <w:div w:id="817067696">
          <w:marLeft w:val="0"/>
          <w:marRight w:val="0"/>
          <w:marTop w:val="0"/>
          <w:marBottom w:val="0"/>
          <w:divBdr>
            <w:top w:val="none" w:sz="0" w:space="0" w:color="auto"/>
            <w:left w:val="none" w:sz="0" w:space="0" w:color="auto"/>
            <w:bottom w:val="none" w:sz="0" w:space="0" w:color="auto"/>
            <w:right w:val="none" w:sz="0" w:space="0" w:color="auto"/>
          </w:divBdr>
        </w:div>
        <w:div w:id="1522234645">
          <w:marLeft w:val="0"/>
          <w:marRight w:val="0"/>
          <w:marTop w:val="0"/>
          <w:marBottom w:val="0"/>
          <w:divBdr>
            <w:top w:val="none" w:sz="0" w:space="0" w:color="auto"/>
            <w:left w:val="none" w:sz="0" w:space="0" w:color="auto"/>
            <w:bottom w:val="none" w:sz="0" w:space="0" w:color="auto"/>
            <w:right w:val="none" w:sz="0" w:space="0" w:color="auto"/>
          </w:divBdr>
        </w:div>
        <w:div w:id="1446269691">
          <w:marLeft w:val="0"/>
          <w:marRight w:val="0"/>
          <w:marTop w:val="0"/>
          <w:marBottom w:val="0"/>
          <w:divBdr>
            <w:top w:val="none" w:sz="0" w:space="0" w:color="auto"/>
            <w:left w:val="none" w:sz="0" w:space="0" w:color="auto"/>
            <w:bottom w:val="none" w:sz="0" w:space="0" w:color="auto"/>
            <w:right w:val="none" w:sz="0" w:space="0" w:color="auto"/>
          </w:divBdr>
        </w:div>
        <w:div w:id="354160125">
          <w:marLeft w:val="0"/>
          <w:marRight w:val="0"/>
          <w:marTop w:val="0"/>
          <w:marBottom w:val="0"/>
          <w:divBdr>
            <w:top w:val="none" w:sz="0" w:space="0" w:color="auto"/>
            <w:left w:val="none" w:sz="0" w:space="0" w:color="auto"/>
            <w:bottom w:val="none" w:sz="0" w:space="0" w:color="auto"/>
            <w:right w:val="none" w:sz="0" w:space="0" w:color="auto"/>
          </w:divBdr>
        </w:div>
        <w:div w:id="588654774">
          <w:marLeft w:val="0"/>
          <w:marRight w:val="0"/>
          <w:marTop w:val="0"/>
          <w:marBottom w:val="0"/>
          <w:divBdr>
            <w:top w:val="none" w:sz="0" w:space="0" w:color="auto"/>
            <w:left w:val="none" w:sz="0" w:space="0" w:color="auto"/>
            <w:bottom w:val="none" w:sz="0" w:space="0" w:color="auto"/>
            <w:right w:val="none" w:sz="0" w:space="0" w:color="auto"/>
          </w:divBdr>
        </w:div>
        <w:div w:id="1671520095">
          <w:marLeft w:val="0"/>
          <w:marRight w:val="0"/>
          <w:marTop w:val="0"/>
          <w:marBottom w:val="0"/>
          <w:divBdr>
            <w:top w:val="none" w:sz="0" w:space="0" w:color="auto"/>
            <w:left w:val="none" w:sz="0" w:space="0" w:color="auto"/>
            <w:bottom w:val="none" w:sz="0" w:space="0" w:color="auto"/>
            <w:right w:val="none" w:sz="0" w:space="0" w:color="auto"/>
          </w:divBdr>
        </w:div>
        <w:div w:id="1958363797">
          <w:marLeft w:val="0"/>
          <w:marRight w:val="0"/>
          <w:marTop w:val="0"/>
          <w:marBottom w:val="0"/>
          <w:divBdr>
            <w:top w:val="none" w:sz="0" w:space="0" w:color="auto"/>
            <w:left w:val="none" w:sz="0" w:space="0" w:color="auto"/>
            <w:bottom w:val="none" w:sz="0" w:space="0" w:color="auto"/>
            <w:right w:val="none" w:sz="0" w:space="0" w:color="auto"/>
          </w:divBdr>
        </w:div>
        <w:div w:id="1541476293">
          <w:marLeft w:val="0"/>
          <w:marRight w:val="0"/>
          <w:marTop w:val="0"/>
          <w:marBottom w:val="0"/>
          <w:divBdr>
            <w:top w:val="none" w:sz="0" w:space="0" w:color="auto"/>
            <w:left w:val="none" w:sz="0" w:space="0" w:color="auto"/>
            <w:bottom w:val="none" w:sz="0" w:space="0" w:color="auto"/>
            <w:right w:val="none" w:sz="0" w:space="0" w:color="auto"/>
          </w:divBdr>
        </w:div>
        <w:div w:id="44836711">
          <w:marLeft w:val="0"/>
          <w:marRight w:val="0"/>
          <w:marTop w:val="0"/>
          <w:marBottom w:val="0"/>
          <w:divBdr>
            <w:top w:val="none" w:sz="0" w:space="0" w:color="auto"/>
            <w:left w:val="none" w:sz="0" w:space="0" w:color="auto"/>
            <w:bottom w:val="none" w:sz="0" w:space="0" w:color="auto"/>
            <w:right w:val="none" w:sz="0" w:space="0" w:color="auto"/>
          </w:divBdr>
        </w:div>
        <w:div w:id="1023556098">
          <w:marLeft w:val="0"/>
          <w:marRight w:val="0"/>
          <w:marTop w:val="0"/>
          <w:marBottom w:val="0"/>
          <w:divBdr>
            <w:top w:val="none" w:sz="0" w:space="0" w:color="auto"/>
            <w:left w:val="none" w:sz="0" w:space="0" w:color="auto"/>
            <w:bottom w:val="none" w:sz="0" w:space="0" w:color="auto"/>
            <w:right w:val="none" w:sz="0" w:space="0" w:color="auto"/>
          </w:divBdr>
        </w:div>
        <w:div w:id="9375693">
          <w:marLeft w:val="0"/>
          <w:marRight w:val="0"/>
          <w:marTop w:val="0"/>
          <w:marBottom w:val="0"/>
          <w:divBdr>
            <w:top w:val="none" w:sz="0" w:space="0" w:color="auto"/>
            <w:left w:val="none" w:sz="0" w:space="0" w:color="auto"/>
            <w:bottom w:val="none" w:sz="0" w:space="0" w:color="auto"/>
            <w:right w:val="none" w:sz="0" w:space="0" w:color="auto"/>
          </w:divBdr>
        </w:div>
        <w:div w:id="767434186">
          <w:marLeft w:val="0"/>
          <w:marRight w:val="0"/>
          <w:marTop w:val="0"/>
          <w:marBottom w:val="0"/>
          <w:divBdr>
            <w:top w:val="none" w:sz="0" w:space="0" w:color="auto"/>
            <w:left w:val="none" w:sz="0" w:space="0" w:color="auto"/>
            <w:bottom w:val="none" w:sz="0" w:space="0" w:color="auto"/>
            <w:right w:val="none" w:sz="0" w:space="0" w:color="auto"/>
          </w:divBdr>
        </w:div>
        <w:div w:id="1321814297">
          <w:marLeft w:val="0"/>
          <w:marRight w:val="0"/>
          <w:marTop w:val="0"/>
          <w:marBottom w:val="0"/>
          <w:divBdr>
            <w:top w:val="none" w:sz="0" w:space="0" w:color="auto"/>
            <w:left w:val="none" w:sz="0" w:space="0" w:color="auto"/>
            <w:bottom w:val="none" w:sz="0" w:space="0" w:color="auto"/>
            <w:right w:val="none" w:sz="0" w:space="0" w:color="auto"/>
          </w:divBdr>
        </w:div>
        <w:div w:id="1418865177">
          <w:marLeft w:val="0"/>
          <w:marRight w:val="0"/>
          <w:marTop w:val="0"/>
          <w:marBottom w:val="0"/>
          <w:divBdr>
            <w:top w:val="none" w:sz="0" w:space="0" w:color="auto"/>
            <w:left w:val="none" w:sz="0" w:space="0" w:color="auto"/>
            <w:bottom w:val="none" w:sz="0" w:space="0" w:color="auto"/>
            <w:right w:val="none" w:sz="0" w:space="0" w:color="auto"/>
          </w:divBdr>
        </w:div>
      </w:divsChild>
    </w:div>
    <w:div w:id="177626275">
      <w:bodyDiv w:val="1"/>
      <w:marLeft w:val="0"/>
      <w:marRight w:val="0"/>
      <w:marTop w:val="0"/>
      <w:marBottom w:val="0"/>
      <w:divBdr>
        <w:top w:val="none" w:sz="0" w:space="0" w:color="auto"/>
        <w:left w:val="none" w:sz="0" w:space="0" w:color="auto"/>
        <w:bottom w:val="none" w:sz="0" w:space="0" w:color="auto"/>
        <w:right w:val="none" w:sz="0" w:space="0" w:color="auto"/>
      </w:divBdr>
    </w:div>
    <w:div w:id="319578823">
      <w:bodyDiv w:val="1"/>
      <w:marLeft w:val="0"/>
      <w:marRight w:val="0"/>
      <w:marTop w:val="0"/>
      <w:marBottom w:val="0"/>
      <w:divBdr>
        <w:top w:val="none" w:sz="0" w:space="0" w:color="auto"/>
        <w:left w:val="none" w:sz="0" w:space="0" w:color="auto"/>
        <w:bottom w:val="none" w:sz="0" w:space="0" w:color="auto"/>
        <w:right w:val="none" w:sz="0" w:space="0" w:color="auto"/>
      </w:divBdr>
    </w:div>
    <w:div w:id="580338276">
      <w:bodyDiv w:val="1"/>
      <w:marLeft w:val="0"/>
      <w:marRight w:val="0"/>
      <w:marTop w:val="0"/>
      <w:marBottom w:val="0"/>
      <w:divBdr>
        <w:top w:val="none" w:sz="0" w:space="0" w:color="auto"/>
        <w:left w:val="none" w:sz="0" w:space="0" w:color="auto"/>
        <w:bottom w:val="none" w:sz="0" w:space="0" w:color="auto"/>
        <w:right w:val="none" w:sz="0" w:space="0" w:color="auto"/>
      </w:divBdr>
      <w:divsChild>
        <w:div w:id="1208832343">
          <w:marLeft w:val="0"/>
          <w:marRight w:val="0"/>
          <w:marTop w:val="0"/>
          <w:marBottom w:val="0"/>
          <w:divBdr>
            <w:top w:val="none" w:sz="0" w:space="0" w:color="auto"/>
            <w:left w:val="none" w:sz="0" w:space="0" w:color="auto"/>
            <w:bottom w:val="none" w:sz="0" w:space="0" w:color="auto"/>
            <w:right w:val="none" w:sz="0" w:space="0" w:color="auto"/>
          </w:divBdr>
        </w:div>
        <w:div w:id="504905312">
          <w:marLeft w:val="0"/>
          <w:marRight w:val="0"/>
          <w:marTop w:val="0"/>
          <w:marBottom w:val="0"/>
          <w:divBdr>
            <w:top w:val="none" w:sz="0" w:space="0" w:color="auto"/>
            <w:left w:val="none" w:sz="0" w:space="0" w:color="auto"/>
            <w:bottom w:val="none" w:sz="0" w:space="0" w:color="auto"/>
            <w:right w:val="none" w:sz="0" w:space="0" w:color="auto"/>
          </w:divBdr>
        </w:div>
        <w:div w:id="240799240">
          <w:marLeft w:val="0"/>
          <w:marRight w:val="0"/>
          <w:marTop w:val="0"/>
          <w:marBottom w:val="0"/>
          <w:divBdr>
            <w:top w:val="none" w:sz="0" w:space="0" w:color="auto"/>
            <w:left w:val="none" w:sz="0" w:space="0" w:color="auto"/>
            <w:bottom w:val="none" w:sz="0" w:space="0" w:color="auto"/>
            <w:right w:val="none" w:sz="0" w:space="0" w:color="auto"/>
          </w:divBdr>
        </w:div>
        <w:div w:id="670063916">
          <w:marLeft w:val="0"/>
          <w:marRight w:val="0"/>
          <w:marTop w:val="0"/>
          <w:marBottom w:val="0"/>
          <w:divBdr>
            <w:top w:val="none" w:sz="0" w:space="0" w:color="auto"/>
            <w:left w:val="none" w:sz="0" w:space="0" w:color="auto"/>
            <w:bottom w:val="none" w:sz="0" w:space="0" w:color="auto"/>
            <w:right w:val="none" w:sz="0" w:space="0" w:color="auto"/>
          </w:divBdr>
        </w:div>
        <w:div w:id="1927689884">
          <w:marLeft w:val="0"/>
          <w:marRight w:val="0"/>
          <w:marTop w:val="0"/>
          <w:marBottom w:val="0"/>
          <w:divBdr>
            <w:top w:val="none" w:sz="0" w:space="0" w:color="auto"/>
            <w:left w:val="none" w:sz="0" w:space="0" w:color="auto"/>
            <w:bottom w:val="none" w:sz="0" w:space="0" w:color="auto"/>
            <w:right w:val="none" w:sz="0" w:space="0" w:color="auto"/>
          </w:divBdr>
        </w:div>
      </w:divsChild>
    </w:div>
    <w:div w:id="921375460">
      <w:bodyDiv w:val="1"/>
      <w:marLeft w:val="0"/>
      <w:marRight w:val="0"/>
      <w:marTop w:val="0"/>
      <w:marBottom w:val="0"/>
      <w:divBdr>
        <w:top w:val="none" w:sz="0" w:space="0" w:color="auto"/>
        <w:left w:val="none" w:sz="0" w:space="0" w:color="auto"/>
        <w:bottom w:val="none" w:sz="0" w:space="0" w:color="auto"/>
        <w:right w:val="none" w:sz="0" w:space="0" w:color="auto"/>
      </w:divBdr>
    </w:div>
    <w:div w:id="1433360853">
      <w:bodyDiv w:val="1"/>
      <w:marLeft w:val="0"/>
      <w:marRight w:val="0"/>
      <w:marTop w:val="0"/>
      <w:marBottom w:val="0"/>
      <w:divBdr>
        <w:top w:val="none" w:sz="0" w:space="0" w:color="auto"/>
        <w:left w:val="none" w:sz="0" w:space="0" w:color="auto"/>
        <w:bottom w:val="none" w:sz="0" w:space="0" w:color="auto"/>
        <w:right w:val="none" w:sz="0" w:space="0" w:color="auto"/>
      </w:divBdr>
      <w:divsChild>
        <w:div w:id="1968655701">
          <w:marLeft w:val="0"/>
          <w:marRight w:val="0"/>
          <w:marTop w:val="0"/>
          <w:marBottom w:val="0"/>
          <w:divBdr>
            <w:top w:val="none" w:sz="0" w:space="0" w:color="auto"/>
            <w:left w:val="none" w:sz="0" w:space="0" w:color="auto"/>
            <w:bottom w:val="none" w:sz="0" w:space="0" w:color="auto"/>
            <w:right w:val="none" w:sz="0" w:space="0" w:color="auto"/>
          </w:divBdr>
        </w:div>
        <w:div w:id="1397821075">
          <w:marLeft w:val="0"/>
          <w:marRight w:val="0"/>
          <w:marTop w:val="0"/>
          <w:marBottom w:val="0"/>
          <w:divBdr>
            <w:top w:val="none" w:sz="0" w:space="0" w:color="auto"/>
            <w:left w:val="none" w:sz="0" w:space="0" w:color="auto"/>
            <w:bottom w:val="none" w:sz="0" w:space="0" w:color="auto"/>
            <w:right w:val="none" w:sz="0" w:space="0" w:color="auto"/>
          </w:divBdr>
        </w:div>
        <w:div w:id="419909132">
          <w:marLeft w:val="0"/>
          <w:marRight w:val="0"/>
          <w:marTop w:val="0"/>
          <w:marBottom w:val="0"/>
          <w:divBdr>
            <w:top w:val="none" w:sz="0" w:space="0" w:color="auto"/>
            <w:left w:val="none" w:sz="0" w:space="0" w:color="auto"/>
            <w:bottom w:val="none" w:sz="0" w:space="0" w:color="auto"/>
            <w:right w:val="none" w:sz="0" w:space="0" w:color="auto"/>
          </w:divBdr>
        </w:div>
        <w:div w:id="1165393054">
          <w:marLeft w:val="0"/>
          <w:marRight w:val="0"/>
          <w:marTop w:val="0"/>
          <w:marBottom w:val="0"/>
          <w:divBdr>
            <w:top w:val="none" w:sz="0" w:space="0" w:color="auto"/>
            <w:left w:val="none" w:sz="0" w:space="0" w:color="auto"/>
            <w:bottom w:val="none" w:sz="0" w:space="0" w:color="auto"/>
            <w:right w:val="none" w:sz="0" w:space="0" w:color="auto"/>
          </w:divBdr>
        </w:div>
        <w:div w:id="1622953628">
          <w:marLeft w:val="0"/>
          <w:marRight w:val="0"/>
          <w:marTop w:val="0"/>
          <w:marBottom w:val="0"/>
          <w:divBdr>
            <w:top w:val="none" w:sz="0" w:space="0" w:color="auto"/>
            <w:left w:val="none" w:sz="0" w:space="0" w:color="auto"/>
            <w:bottom w:val="none" w:sz="0" w:space="0" w:color="auto"/>
            <w:right w:val="none" w:sz="0" w:space="0" w:color="auto"/>
          </w:divBdr>
        </w:div>
        <w:div w:id="1269040859">
          <w:marLeft w:val="0"/>
          <w:marRight w:val="0"/>
          <w:marTop w:val="0"/>
          <w:marBottom w:val="0"/>
          <w:divBdr>
            <w:top w:val="none" w:sz="0" w:space="0" w:color="auto"/>
            <w:left w:val="none" w:sz="0" w:space="0" w:color="auto"/>
            <w:bottom w:val="none" w:sz="0" w:space="0" w:color="auto"/>
            <w:right w:val="none" w:sz="0" w:space="0" w:color="auto"/>
          </w:divBdr>
        </w:div>
        <w:div w:id="2096785758">
          <w:marLeft w:val="0"/>
          <w:marRight w:val="0"/>
          <w:marTop w:val="0"/>
          <w:marBottom w:val="0"/>
          <w:divBdr>
            <w:top w:val="none" w:sz="0" w:space="0" w:color="auto"/>
            <w:left w:val="none" w:sz="0" w:space="0" w:color="auto"/>
            <w:bottom w:val="none" w:sz="0" w:space="0" w:color="auto"/>
            <w:right w:val="none" w:sz="0" w:space="0" w:color="auto"/>
          </w:divBdr>
        </w:div>
        <w:div w:id="1923444679">
          <w:marLeft w:val="0"/>
          <w:marRight w:val="0"/>
          <w:marTop w:val="0"/>
          <w:marBottom w:val="0"/>
          <w:divBdr>
            <w:top w:val="none" w:sz="0" w:space="0" w:color="auto"/>
            <w:left w:val="none" w:sz="0" w:space="0" w:color="auto"/>
            <w:bottom w:val="none" w:sz="0" w:space="0" w:color="auto"/>
            <w:right w:val="none" w:sz="0" w:space="0" w:color="auto"/>
          </w:divBdr>
        </w:div>
        <w:div w:id="1381978216">
          <w:marLeft w:val="0"/>
          <w:marRight w:val="0"/>
          <w:marTop w:val="0"/>
          <w:marBottom w:val="0"/>
          <w:divBdr>
            <w:top w:val="none" w:sz="0" w:space="0" w:color="auto"/>
            <w:left w:val="none" w:sz="0" w:space="0" w:color="auto"/>
            <w:bottom w:val="none" w:sz="0" w:space="0" w:color="auto"/>
            <w:right w:val="none" w:sz="0" w:space="0" w:color="auto"/>
          </w:divBdr>
        </w:div>
      </w:divsChild>
    </w:div>
    <w:div w:id="1538589008">
      <w:bodyDiv w:val="1"/>
      <w:marLeft w:val="0"/>
      <w:marRight w:val="0"/>
      <w:marTop w:val="0"/>
      <w:marBottom w:val="0"/>
      <w:divBdr>
        <w:top w:val="none" w:sz="0" w:space="0" w:color="auto"/>
        <w:left w:val="none" w:sz="0" w:space="0" w:color="auto"/>
        <w:bottom w:val="none" w:sz="0" w:space="0" w:color="auto"/>
        <w:right w:val="none" w:sz="0" w:space="0" w:color="auto"/>
      </w:divBdr>
      <w:divsChild>
        <w:div w:id="1962153186">
          <w:marLeft w:val="0"/>
          <w:marRight w:val="0"/>
          <w:marTop w:val="0"/>
          <w:marBottom w:val="0"/>
          <w:divBdr>
            <w:top w:val="none" w:sz="0" w:space="0" w:color="auto"/>
            <w:left w:val="none" w:sz="0" w:space="0" w:color="auto"/>
            <w:bottom w:val="none" w:sz="0" w:space="0" w:color="auto"/>
            <w:right w:val="none" w:sz="0" w:space="0" w:color="auto"/>
          </w:divBdr>
        </w:div>
        <w:div w:id="1101412655">
          <w:marLeft w:val="0"/>
          <w:marRight w:val="0"/>
          <w:marTop w:val="0"/>
          <w:marBottom w:val="0"/>
          <w:divBdr>
            <w:top w:val="none" w:sz="0" w:space="0" w:color="auto"/>
            <w:left w:val="none" w:sz="0" w:space="0" w:color="auto"/>
            <w:bottom w:val="none" w:sz="0" w:space="0" w:color="auto"/>
            <w:right w:val="none" w:sz="0" w:space="0" w:color="auto"/>
          </w:divBdr>
        </w:div>
      </w:divsChild>
    </w:div>
    <w:div w:id="1538930270">
      <w:bodyDiv w:val="1"/>
      <w:marLeft w:val="0"/>
      <w:marRight w:val="0"/>
      <w:marTop w:val="0"/>
      <w:marBottom w:val="0"/>
      <w:divBdr>
        <w:top w:val="none" w:sz="0" w:space="0" w:color="auto"/>
        <w:left w:val="none" w:sz="0" w:space="0" w:color="auto"/>
        <w:bottom w:val="none" w:sz="0" w:space="0" w:color="auto"/>
        <w:right w:val="none" w:sz="0" w:space="0" w:color="auto"/>
      </w:divBdr>
      <w:divsChild>
        <w:div w:id="98070264">
          <w:marLeft w:val="0"/>
          <w:marRight w:val="0"/>
          <w:marTop w:val="0"/>
          <w:marBottom w:val="0"/>
          <w:divBdr>
            <w:top w:val="none" w:sz="0" w:space="0" w:color="auto"/>
            <w:left w:val="none" w:sz="0" w:space="0" w:color="auto"/>
            <w:bottom w:val="none" w:sz="0" w:space="0" w:color="auto"/>
            <w:right w:val="none" w:sz="0" w:space="0" w:color="auto"/>
          </w:divBdr>
        </w:div>
        <w:div w:id="1179079227">
          <w:marLeft w:val="0"/>
          <w:marRight w:val="0"/>
          <w:marTop w:val="0"/>
          <w:marBottom w:val="0"/>
          <w:divBdr>
            <w:top w:val="none" w:sz="0" w:space="0" w:color="auto"/>
            <w:left w:val="none" w:sz="0" w:space="0" w:color="auto"/>
            <w:bottom w:val="none" w:sz="0" w:space="0" w:color="auto"/>
            <w:right w:val="none" w:sz="0" w:space="0" w:color="auto"/>
          </w:divBdr>
        </w:div>
        <w:div w:id="1075511722">
          <w:marLeft w:val="0"/>
          <w:marRight w:val="0"/>
          <w:marTop w:val="0"/>
          <w:marBottom w:val="0"/>
          <w:divBdr>
            <w:top w:val="none" w:sz="0" w:space="0" w:color="auto"/>
            <w:left w:val="none" w:sz="0" w:space="0" w:color="auto"/>
            <w:bottom w:val="none" w:sz="0" w:space="0" w:color="auto"/>
            <w:right w:val="none" w:sz="0" w:space="0" w:color="auto"/>
          </w:divBdr>
        </w:div>
        <w:div w:id="1770470532">
          <w:marLeft w:val="0"/>
          <w:marRight w:val="0"/>
          <w:marTop w:val="0"/>
          <w:marBottom w:val="0"/>
          <w:divBdr>
            <w:top w:val="none" w:sz="0" w:space="0" w:color="auto"/>
            <w:left w:val="none" w:sz="0" w:space="0" w:color="auto"/>
            <w:bottom w:val="none" w:sz="0" w:space="0" w:color="auto"/>
            <w:right w:val="none" w:sz="0" w:space="0" w:color="auto"/>
          </w:divBdr>
        </w:div>
        <w:div w:id="727150070">
          <w:marLeft w:val="0"/>
          <w:marRight w:val="0"/>
          <w:marTop w:val="0"/>
          <w:marBottom w:val="0"/>
          <w:divBdr>
            <w:top w:val="none" w:sz="0" w:space="0" w:color="auto"/>
            <w:left w:val="none" w:sz="0" w:space="0" w:color="auto"/>
            <w:bottom w:val="none" w:sz="0" w:space="0" w:color="auto"/>
            <w:right w:val="none" w:sz="0" w:space="0" w:color="auto"/>
          </w:divBdr>
        </w:div>
        <w:div w:id="577401389">
          <w:marLeft w:val="0"/>
          <w:marRight w:val="0"/>
          <w:marTop w:val="0"/>
          <w:marBottom w:val="0"/>
          <w:divBdr>
            <w:top w:val="none" w:sz="0" w:space="0" w:color="auto"/>
            <w:left w:val="none" w:sz="0" w:space="0" w:color="auto"/>
            <w:bottom w:val="none" w:sz="0" w:space="0" w:color="auto"/>
            <w:right w:val="none" w:sz="0" w:space="0" w:color="auto"/>
          </w:divBdr>
        </w:div>
        <w:div w:id="1201481289">
          <w:marLeft w:val="0"/>
          <w:marRight w:val="0"/>
          <w:marTop w:val="0"/>
          <w:marBottom w:val="0"/>
          <w:divBdr>
            <w:top w:val="none" w:sz="0" w:space="0" w:color="auto"/>
            <w:left w:val="none" w:sz="0" w:space="0" w:color="auto"/>
            <w:bottom w:val="none" w:sz="0" w:space="0" w:color="auto"/>
            <w:right w:val="none" w:sz="0" w:space="0" w:color="auto"/>
          </w:divBdr>
        </w:div>
        <w:div w:id="1062630950">
          <w:marLeft w:val="0"/>
          <w:marRight w:val="0"/>
          <w:marTop w:val="0"/>
          <w:marBottom w:val="0"/>
          <w:divBdr>
            <w:top w:val="none" w:sz="0" w:space="0" w:color="auto"/>
            <w:left w:val="none" w:sz="0" w:space="0" w:color="auto"/>
            <w:bottom w:val="none" w:sz="0" w:space="0" w:color="auto"/>
            <w:right w:val="none" w:sz="0" w:space="0" w:color="auto"/>
          </w:divBdr>
        </w:div>
        <w:div w:id="1094859113">
          <w:marLeft w:val="0"/>
          <w:marRight w:val="0"/>
          <w:marTop w:val="0"/>
          <w:marBottom w:val="0"/>
          <w:divBdr>
            <w:top w:val="none" w:sz="0" w:space="0" w:color="auto"/>
            <w:left w:val="none" w:sz="0" w:space="0" w:color="auto"/>
            <w:bottom w:val="none" w:sz="0" w:space="0" w:color="auto"/>
            <w:right w:val="none" w:sz="0" w:space="0" w:color="auto"/>
          </w:divBdr>
        </w:div>
        <w:div w:id="2083524108">
          <w:marLeft w:val="0"/>
          <w:marRight w:val="0"/>
          <w:marTop w:val="0"/>
          <w:marBottom w:val="0"/>
          <w:divBdr>
            <w:top w:val="none" w:sz="0" w:space="0" w:color="auto"/>
            <w:left w:val="none" w:sz="0" w:space="0" w:color="auto"/>
            <w:bottom w:val="none" w:sz="0" w:space="0" w:color="auto"/>
            <w:right w:val="none" w:sz="0" w:space="0" w:color="auto"/>
          </w:divBdr>
        </w:div>
        <w:div w:id="2076315391">
          <w:marLeft w:val="0"/>
          <w:marRight w:val="0"/>
          <w:marTop w:val="0"/>
          <w:marBottom w:val="0"/>
          <w:divBdr>
            <w:top w:val="none" w:sz="0" w:space="0" w:color="auto"/>
            <w:left w:val="none" w:sz="0" w:space="0" w:color="auto"/>
            <w:bottom w:val="none" w:sz="0" w:space="0" w:color="auto"/>
            <w:right w:val="none" w:sz="0" w:space="0" w:color="auto"/>
          </w:divBdr>
        </w:div>
      </w:divsChild>
    </w:div>
    <w:div w:id="1921866425">
      <w:bodyDiv w:val="1"/>
      <w:marLeft w:val="0"/>
      <w:marRight w:val="0"/>
      <w:marTop w:val="0"/>
      <w:marBottom w:val="0"/>
      <w:divBdr>
        <w:top w:val="none" w:sz="0" w:space="0" w:color="auto"/>
        <w:left w:val="none" w:sz="0" w:space="0" w:color="auto"/>
        <w:bottom w:val="none" w:sz="0" w:space="0" w:color="auto"/>
        <w:right w:val="none" w:sz="0" w:space="0" w:color="auto"/>
      </w:divBdr>
      <w:divsChild>
        <w:div w:id="1529635217">
          <w:marLeft w:val="0"/>
          <w:marRight w:val="0"/>
          <w:marTop w:val="0"/>
          <w:marBottom w:val="0"/>
          <w:divBdr>
            <w:top w:val="none" w:sz="0" w:space="0" w:color="auto"/>
            <w:left w:val="none" w:sz="0" w:space="0" w:color="auto"/>
            <w:bottom w:val="none" w:sz="0" w:space="0" w:color="auto"/>
            <w:right w:val="none" w:sz="0" w:space="0" w:color="auto"/>
          </w:divBdr>
        </w:div>
        <w:div w:id="263196709">
          <w:marLeft w:val="0"/>
          <w:marRight w:val="0"/>
          <w:marTop w:val="0"/>
          <w:marBottom w:val="0"/>
          <w:divBdr>
            <w:top w:val="none" w:sz="0" w:space="0" w:color="auto"/>
            <w:left w:val="none" w:sz="0" w:space="0" w:color="auto"/>
            <w:bottom w:val="none" w:sz="0" w:space="0" w:color="auto"/>
            <w:right w:val="none" w:sz="0" w:space="0" w:color="auto"/>
          </w:divBdr>
        </w:div>
        <w:div w:id="1602109406">
          <w:marLeft w:val="0"/>
          <w:marRight w:val="0"/>
          <w:marTop w:val="0"/>
          <w:marBottom w:val="0"/>
          <w:divBdr>
            <w:top w:val="none" w:sz="0" w:space="0" w:color="auto"/>
            <w:left w:val="none" w:sz="0" w:space="0" w:color="auto"/>
            <w:bottom w:val="none" w:sz="0" w:space="0" w:color="auto"/>
            <w:right w:val="none" w:sz="0" w:space="0" w:color="auto"/>
          </w:divBdr>
        </w:div>
        <w:div w:id="888541852">
          <w:marLeft w:val="0"/>
          <w:marRight w:val="0"/>
          <w:marTop w:val="0"/>
          <w:marBottom w:val="0"/>
          <w:divBdr>
            <w:top w:val="none" w:sz="0" w:space="0" w:color="auto"/>
            <w:left w:val="none" w:sz="0" w:space="0" w:color="auto"/>
            <w:bottom w:val="none" w:sz="0" w:space="0" w:color="auto"/>
            <w:right w:val="none" w:sz="0" w:space="0" w:color="auto"/>
          </w:divBdr>
        </w:div>
      </w:divsChild>
    </w:div>
    <w:div w:id="200365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1054</TotalTime>
  <Pages>1</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dc:creator>
  <cp:keywords/>
  <dc:description/>
  <cp:lastModifiedBy>Rudy</cp:lastModifiedBy>
  <cp:revision>16</cp:revision>
  <dcterms:created xsi:type="dcterms:W3CDTF">2015-11-25T23:20:00Z</dcterms:created>
  <dcterms:modified xsi:type="dcterms:W3CDTF">2015-11-27T11:10:00Z</dcterms:modified>
</cp:coreProperties>
</file>