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2E75B6"/>
          <w:sz w:val="48"/>
          <w:szCs w:val="48"/>
        </w:rPr>
        <w:t xml:space="preserve">Content Intelligence Platform</w:t>
      </w:r>
    </w:p>
    <w:p>
      <w:pPr>
        <w:spacing w:after="100" w:before="0"/>
      </w:pPr>
      <w:r>
        <w:rPr>
          <w:rFonts w:ascii="Arial" w:cs="Arial" w:eastAsia="Arial" w:hAnsi="Arial"/>
          <w:color w:val="2C3E50"/>
          <w:sz w:val="36"/>
          <w:szCs w:val="36"/>
        </w:rPr>
        <w:t xml:space="preserve">Auditoría de Frontend (Landing Page) — Informe Completo</w:t>
      </w:r>
    </w:p>
    <w:p>
      <w:pPr>
        <w:spacing w:after="600" w:before="100"/>
      </w:pPr>
      <w:r>
        <w:rPr>
          <w:rFonts w:ascii="Arial" w:cs="Arial" w:eastAsia="Arial" w:hAnsi="Arial"/>
          <w:color w:val="7F8C8D"/>
          <w:sz w:val="20"/>
          <w:szCs w:val="20"/>
        </w:rPr>
        <w:t xml:space="preserve">Versión 1.0  ·  Abril 2026  ·  Uso interno</w:t>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1. Resumen Ejecutivo</w:t>
      </w:r>
    </w:p>
    <w:p>
      <w:pPr>
        <w:spacing w:after="80" w:before="80"/>
      </w:pPr>
      <w:r>
        <w:rPr>
          <w:rFonts w:ascii="Arial" w:cs="Arial" w:eastAsia="Arial" w:hAnsi="Arial"/>
          <w:color w:val="2C3E50"/>
          <w:sz w:val="20"/>
          <w:szCs w:val="20"/>
        </w:rPr>
        <w:t xml:space="preserve">Esta auditoría cubre el estado completo del frontend de la landing page: estructura de archivos, cliente de Supabase, sistema de early access, internacionalización (i18n), componente RequestAccessModal y variables de entorno.</w:t>
      </w:r>
    </w:p>
    <w:p>
      <w:pPr>
        <w:spacing w:after="100" w:before="100"/>
      </w:pPr>
      <w:r>
        <w:t xml:space="preserve"/>
      </w:r>
    </w:p>
    <w:p>
      <w:pPr>
        <w:spacing w:after="80" w:before="80"/>
      </w:pPr>
      <w:r>
        <w:rPr>
          <w:rFonts w:ascii="Arial" w:cs="Arial" w:eastAsia="Arial" w:hAnsi="Arial"/>
          <w:color w:val="2C3E50"/>
          <w:sz w:val="20"/>
          <w:szCs w:val="20"/>
        </w:rPr>
        <w:t xml:space="preserve">La landing tiene una arquitectura limpia, bien estructurada y orientada a un objetivo claro: capturar early adopters. El sistema i18n está correctamente implementado en dos idiomas. Sin embargo, existen tres hallazgos críticos relacionados con la exposición de datos internos del sistema que deben resolverse antes de escalar la campaña de adquisición.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900"/>
        <w:gridCol w:w="1860"/>
      </w:tblGrid>
      <w:tr>
        <w:tc>
          <w:tcPr>
            <w:tcW w:type="dxa" w:w="3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Hallazgos Críticos</w:t>
            </w:r>
          </w:p>
        </w:tc>
        <w:tc>
          <w:tcPr>
            <w:tcW w:type="dxa" w:w="19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Hallazgos Importantes</w:t>
            </w:r>
          </w:p>
        </w:tc>
        <w:tc>
          <w:tcPr>
            <w:tcW w:type="dxa" w:w="18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Mejoras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Seguridad / RLS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Código fuente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Componente RequestAccessModal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Cliente Supabase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Nomenclatura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TOTAL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3</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2</w:t>
            </w:r>
          </w:p>
        </w:tc>
        <w:tc>
          <w:tcPr>
            <w:tcW w:type="dxa" w:w="1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4</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2. Inventario del Sistema</w:t>
      </w:r>
    </w:p>
    <w:p>
      <w:pPr>
        <w:pStyle w:val="Heading2"/>
        <w:spacing w:after="150" w:before="300"/>
      </w:pPr>
      <w:r>
        <w:rPr>
          <w:rFonts w:ascii="Arial" w:cs="Arial" w:eastAsia="Arial" w:hAnsi="Arial"/>
          <w:b/>
          <w:bCs/>
          <w:color w:val="2E75B6"/>
          <w:sz w:val="26"/>
          <w:szCs w:val="26"/>
        </w:rPr>
        <w:t xml:space="preserve">2.1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Archivo / Módulo</w:t>
            </w:r>
          </w:p>
        </w:tc>
        <w:tc>
          <w:tcPr>
            <w:tcW w:type="dxa" w:w="3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c>
          <w:tcPr>
            <w:tcW w:type="dxa" w:w="29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src/lib/supabase.ts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Singleton del cliente Supabase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Funcional</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src/App.tsx</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Contenedor mínimo — renderiza Landing</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Correcto</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src/pages/Landing.tsx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Página principal — orquesta secciones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Estructurado</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src/components/sections/</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11 secciones del storytelling de la landing</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Completo</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src/components/ui/RequestAccessModal.tsx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Modal de captura de early adopters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Hallazgos</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src/components/layout/Navbar.tsx</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Navbar sticky con scroll anchors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Funcional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src/constants/earlyAccessOptions.ts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UUIDs y labels de plataformas y roles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Crítico</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src/hooks/useEarlyAccessCount.ts</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Contador de registros para social proof</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Ver RLS backend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src/hooks/useAnimatedCount.ts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Animación del contador en el Hero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Menor</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src/i18n/</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Traducciones en inglés y español (13 archivos por idioma)</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Completo</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2.2 Variables de entorno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c>
          <w:tcPr>
            <w:tcW w:type="dxa" w:w="33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Riesgo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VITE_SUPABASE_URL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URL del proyecto Supabase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Seguro (público por diseño)</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VITE_SUPABASE_ANON_KEY</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Anon key de Supabase</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Seguro (público por diseño)</w:t>
            </w:r>
          </w:p>
        </w:tc>
      </w:tr>
    </w:tbl>
    <w:p>
      <w:pPr>
        <w:spacing w:after="100" w:before="100"/>
      </w:pPr>
      <w:r>
        <w:t xml:space="preserve"/>
      </w:r>
    </w:p>
    <w:p>
      <w:pPr>
        <w:spacing w:after="80" w:before="80"/>
      </w:pPr>
      <w:r>
        <w:rPr>
          <w:rFonts w:ascii="Arial" w:cs="Arial" w:eastAsia="Arial" w:hAnsi="Arial"/>
          <w:i/>
          <w:iCs/>
          <w:color w:val="7F8C8D"/>
          <w:sz w:val="20"/>
          <w:szCs w:val="20"/>
        </w:rPr>
        <w:t xml:space="preserve">El .env de la landing es el más limpio de todo el sistema — solo contiene las dos variables estrictamente necesarias. Sin variables sensibles ni tokens hardcodeados.</w:t>
      </w:r>
    </w:p>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3. Hallazgos Críticos</w:t>
      </w:r>
    </w:p>
    <w:p>
      <w:pPr>
        <w:spacing w:after="80" w:before="80"/>
      </w:pPr>
      <w:r>
        <w:rPr>
          <w:rFonts w:ascii="Arial" w:cs="Arial" w:eastAsia="Arial" w:hAnsi="Arial"/>
          <w:color w:val="2C3E50"/>
          <w:sz w:val="20"/>
          <w:szCs w:val="20"/>
        </w:rPr>
        <w:t xml:space="preserve">Los siguientes hallazgos representan riesgos de seguridad o fragilidad estructural que deben resolverse antes de escalar la campaña de adquisición.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pPr>
              <w:jc w:val="center"/>
            </w:pPr>
            <w:r>
              <w:rPr>
                <w:rFonts w:ascii="Arial" w:cs="Arial" w:eastAsia="Arial" w:hAnsi="Arial"/>
                <w:b/>
                <w:bCs/>
                <w:color w:val="C0392B"/>
                <w:sz w:val="18"/>
                <w:szCs w:val="18"/>
              </w:rPr>
              <w:t xml:space="preserve">CRÍTICO</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UUIDs de base de datos de producción hardcodeados en el código fuente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src/constants/earlyAccessOptions.ts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Los IDs de plataformas y roles son UUIDs reales de la base de datos de producción embebidos directamente en el código fuente del repositorio. Esto tiene tres implicaciones: (1) cualquier persona con acceso al repo conoce los UUIDs internos del sistema; (2) si algún UUID cambia en la base de datos, el modal envía IDs inválidos que fallan silenciosamente con error de FK; (3) agregar una plataforma nueva requiere modificar el código fuente, hacer un commit y redesplegar en lugar de simplemente insertar un registro en la base de datos.</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Cargar las plataformas y roles desde los endpoints de catálogo ya existentes en el backend (functions/v1/platforms y equivalente para roles) en tiempo de montaje del modal. Esto elimina la dependencia hardcodeada y mantiene la landing sincronizada automáticamente con los catálogos de la base de datos.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pPr>
              <w:jc w:val="center"/>
            </w:pPr>
            <w:r>
              <w:rPr>
                <w:rFonts w:ascii="Arial" w:cs="Arial" w:eastAsia="Arial" w:hAnsi="Arial"/>
                <w:b/>
                <w:bCs/>
                <w:color w:val="C0392B"/>
                <w:sz w:val="18"/>
                <w:szCs w:val="18"/>
              </w:rPr>
              <w:t xml:space="preserve">CRÍTICO</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URL de Supabase hardcodeada en el código fuente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src/components/ui/RequestAccessModal.tsx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fetch al endpoint early-access usa la URL del proyecto de Supabase hardcodeada directamente en el código: 'https://szpdbyuzdeluizxslugd.supabase.co/functions/v1/early-access'. Esto expone el identificador del proyecto en el repositorio y hace imposible cambiar de entorno sin modificar el código fuente.</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Reemplazar la URL hardcodeada por la variable de entorno que ya existe: `${import.meta.env.VITE_SUPABASE_URL}/functions/v1/early-access`. El patrón correcto ya se usa en la app principal.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pPr>
              <w:jc w:val="center"/>
            </w:pPr>
            <w:r>
              <w:rPr>
                <w:rFonts w:ascii="Arial" w:cs="Arial" w:eastAsia="Arial" w:hAnsi="Arial"/>
                <w:b/>
                <w:bCs/>
                <w:color w:val="C0392B"/>
                <w:sz w:val="18"/>
                <w:szCs w:val="18"/>
              </w:rPr>
              <w:t xml:space="preserve">CRÍTICO</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Política RLS de early_access_requests demasiado permisiva</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src/hooks/useEarlyAccessCount.ts + RLS backend</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hook consulta early_access_requests directamente desde el cliente sin autenticación. Funciona porque la política RLS public_count_waitlist tiene qual: true — completamente abierta. El hook en sí solo pide el conteo con head: true, lo que es correcto para el social proof del hero. Sin embargo, esa misma política permite que cualquier persona — sin autenticación — haga un SELECT completo a la tabla y obtenga todos los emails, plataformas, roles y datos de los registros de early access. Este hallazgo está documentado también en AUDIT_BACKEND_v1.</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Separar la política RLS en dos: una pública que solo permita COUNT(*) para usuarios anónimos (lo que necesita este hook), y una privada restringida al service_role para operaciones administrativas. Los emails y datos de early adopters nunca deben ser accesibles por usuarios anónimos.</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4. Hallazgos Importantes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Header apikey innecesario en la llamada al endpoint</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src/components/ui/RequestAccessModal.tsx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fetch incluye apikey: import.meta.env.VITE_SUPABASE_ANON_KEY en los headers. Este header es requerido para la API REST de Supabase pero no para Edge Functions, que solo necesitan el Authorization header. En este caso no hay Authorization header porque el endpoint es público, pero el apikey sigue siendo innecesario.</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el header apikey del fetch a early-access. Las Edge Functions públicas no requieren ningún header de autenticación adicional — solo el Content-Type.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Validación de email insuficiente en el cliente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src/components/ui/RequestAccessModal.tsx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input usa type='email' que activa la validación nativa del navegador, pero esta validación es inconsistente entre navegadores y se puede bypasear con herramientas como curl. El backend solo valida con email.includes('@'), que también es muy básica — acepta strings como 'a@b' como emails válidos.</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una validación de email más robusta en el cliente con una expresión regular básica antes del submit. El backend también debería mejorar su validación para verificar el formato completo del email antes de insertar.</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5. Oportunidades de Mejora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Sin validación de variables de entorno al inicializar el cliente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src/lib/supabase.ts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cliente se inicializa pasando directamente import.meta.env.VITE_SUPABASE_URL y VITE_SUPABASE_ANON_KEY sin verificar que estén definidas. Si alguna variable falta en producción, el cliente se crea con valores undefined y falla silenciosamente en runtime.</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validación explícita antes de crear el cliente, siguiendo el patrón de la app principal: if (!supabaseUrl || !supabaseAnonKey) { throw new Error('Missing Supabase environment variables');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Typo en el nombre del archivo</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src/hooks/useEarlyAccessCoutn.ts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archivo se llama useEarlyAccessCoutn.ts en lugar de useEarlyAccessCount.ts. La función internamente está nombrada correctamente como useEarlyAccessCount, pero el nombre del archivo tiene la 'n' y la 't' invertidas. No afecta el funcionamiento pero dificulta encontrar el archivo y es inconsistente con las convenciones del proyecto.</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Renombrar el archivo a useEarlyAccessCount.ts y actualizar el import correspondiente en el componente que lo usa.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Labels de plataformas y roles solo en inglés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src/constants/earlyAccessOptions.ts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Los labels de plataformas y roles en earlyAccessOptions.ts están hardcodeados en inglés. Aunque el modal usa i18n para todos los textos del UI, los chips de selección de plataforma y rol siempre muestran los mismos labels independientemente del idioma activo.</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Si se implementa la carga dinámica desde el backend (recomendación del hallazgo crítico), este problema se resuelve solo — los nombres vendrían de la base de datos. Si se mantienen hardcodeados, agregar los labels al sistema i18n.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Sin feedback visual de validación en tiempo real</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src/components/ui/RequestAccessModal.tsx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botón de submit solo se habilita cuando email y plataforma están completos, pero no hay ningún indicador visual que le explique al usuario por qué el botón está deshabilitado. En mobile especialmente, un usuario puede no entender qué campo le falta completar.</w:t>
            </w:r>
          </w:p>
          <w:p>
            <w:pPr>
              <w:spacing w:after="100" w:before="10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mensajes de validación inline o un indicador visual en los campos requeridos que muestre claramente cuál es el requisito para habilitar el submit.</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6. Fortalezas del Sistema</w:t>
      </w:r>
    </w:p>
    <w:p>
      <w:pPr>
        <w:spacing w:after="80" w:before="80"/>
      </w:pPr>
      <w:r>
        <w:rPr>
          <w:rFonts w:ascii="Arial" w:cs="Arial" w:eastAsia="Arial" w:hAnsi="Arial"/>
          <w:color w:val="2C3E50"/>
          <w:sz w:val="20"/>
          <w:szCs w:val="20"/>
        </w:rPr>
        <w:t xml:space="preserve">La landing tiene varias decisiones de implementación que vale destacar explícitamente.</w:t>
      </w:r>
    </w:p>
    <w:p>
      <w:pPr>
        <w:spacing w:after="100" w:before="100"/>
      </w:pPr>
      <w:r>
        <w:t xml:space="preserve"/>
      </w:r>
    </w:p>
    <w:p>
      <w:pPr>
        <w:spacing w:after="100" w:before="200"/>
      </w:pPr>
      <w:r>
        <w:rPr>
          <w:rFonts w:ascii="Arial" w:cs="Arial" w:eastAsia="Arial" w:hAnsi="Arial"/>
          <w:b/>
          <w:bCs/>
          <w:color w:val="2C3E50"/>
          <w:sz w:val="22"/>
          <w:szCs w:val="22"/>
        </w:rPr>
        <w:t xml:space="preserve">UX del modal de early access</w:t>
      </w:r>
    </w:p>
    <w:p>
      <w:pPr>
        <w:spacing w:after="80" w:before="80"/>
      </w:pPr>
      <w:r>
        <w:rPr>
          <w:rFonts w:ascii="Arial" w:cs="Arial" w:eastAsia="Arial" w:hAnsi="Arial"/>
          <w:color w:val="2C3E50"/>
          <w:sz w:val="20"/>
          <w:szCs w:val="20"/>
        </w:rPr>
        <w:t xml:space="preserve">El RequestAccessModal tiene la mejor UX del sistema completo: scroll lock al abrir, cierre con ESC, cierre al hacer click fuera del modal, autofocus en el primer campo, reset completo del estado al cerrar, estados diferenciados de loading/error/success, y el botón de submit deshabilitado hasta que los campos requeridos estén completos. Es código de producción real.</w:t>
      </w:r>
    </w:p>
    <w:p>
      <w:pPr>
        <w:spacing w:after="100" w:before="100"/>
      </w:pPr>
      <w:r>
        <w:t xml:space="preserve"/>
      </w:r>
    </w:p>
    <w:p>
      <w:pPr>
        <w:spacing w:after="100" w:before="200"/>
      </w:pPr>
      <w:r>
        <w:rPr>
          <w:rFonts w:ascii="Arial" w:cs="Arial" w:eastAsia="Arial" w:hAnsi="Arial"/>
          <w:b/>
          <w:bCs/>
          <w:color w:val="2C3E50"/>
          <w:sz w:val="22"/>
          <w:szCs w:val="22"/>
        </w:rPr>
        <w:t xml:space="preserve">Sistema i18n bien implementado</w:t>
      </w:r>
    </w:p>
    <w:p>
      <w:pPr>
        <w:spacing w:after="80" w:before="80"/>
      </w:pPr>
      <w:r>
        <w:rPr>
          <w:rFonts w:ascii="Arial" w:cs="Arial" w:eastAsia="Arial" w:hAnsi="Arial"/>
          <w:color w:val="2C3E50"/>
          <w:sz w:val="20"/>
          <w:szCs w:val="20"/>
        </w:rPr>
        <w:t xml:space="preserve">La separación de traducciones por sección (13 archivos JSON por idioma) es una decisión de arquitectura correcta — permite actualizar el copy de una sección sin tocar el resto. La detección de idioma con i18n.language?.startsWith('es') cubre variantes regionales como es-CO, es-MX, es-AR correctamente.</w:t>
      </w:r>
    </w:p>
    <w:p>
      <w:pPr>
        <w:spacing w:after="100" w:before="100"/>
      </w:pPr>
      <w:r>
        <w:t xml:space="preserve"/>
      </w:r>
    </w:p>
    <w:p>
      <w:pPr>
        <w:spacing w:after="100" w:before="200"/>
      </w:pPr>
      <w:r>
        <w:rPr>
          <w:rFonts w:ascii="Arial" w:cs="Arial" w:eastAsia="Arial" w:hAnsi="Arial"/>
          <w:b/>
          <w:bCs/>
          <w:color w:val="2C3E50"/>
          <w:sz w:val="22"/>
          <w:szCs w:val="22"/>
        </w:rPr>
        <w:t xml:space="preserve">Parámetros de URL para segmentación</w:t>
      </w:r>
    </w:p>
    <w:p>
      <w:pPr>
        <w:spacing w:after="80" w:before="80"/>
      </w:pPr>
      <w:r>
        <w:rPr>
          <w:rFonts w:ascii="Arial" w:cs="Arial" w:eastAsia="Arial" w:hAnsi="Arial"/>
          <w:color w:val="2C3E50"/>
          <w:sz w:val="20"/>
          <w:szCs w:val="20"/>
        </w:rPr>
        <w:t xml:space="preserve">El uso de parámetros en la URL para identificar el idioma y el canal de origen de cada registro es una decisión inteligente de market intelligence que permite segmentar la lista de early adopters desde el primer día, sin necesidad de preguntar explícitamente a los usuarios cómo llegaron a la landing.</w:t>
      </w:r>
    </w:p>
    <w:p>
      <w:pPr>
        <w:spacing w:after="100" w:before="100"/>
      </w:pPr>
      <w:r>
        <w:t xml:space="preserve"/>
      </w:r>
    </w:p>
    <w:p>
      <w:pPr>
        <w:spacing w:after="100" w:before="200"/>
      </w:pPr>
      <w:r>
        <w:rPr>
          <w:rFonts w:ascii="Arial" w:cs="Arial" w:eastAsia="Arial" w:hAnsi="Arial"/>
          <w:b/>
          <w:bCs/>
          <w:color w:val="2C3E50"/>
          <w:sz w:val="22"/>
          <w:szCs w:val="22"/>
        </w:rPr>
        <w:t xml:space="preserve">App.tsx mínimo</w:t>
      </w:r>
    </w:p>
    <w:p>
      <w:pPr>
        <w:spacing w:after="80" w:before="80"/>
      </w:pPr>
      <w:r>
        <w:rPr>
          <w:rFonts w:ascii="Arial" w:cs="Arial" w:eastAsia="Arial" w:hAnsi="Arial"/>
          <w:color w:val="2C3E50"/>
          <w:sz w:val="20"/>
          <w:szCs w:val="20"/>
        </w:rPr>
        <w:t xml:space="preserve">El App.tsx de la landing es un contenedor de una sola línea que renderiza Landing. Sin lógica, sin efectos, sin instancias adicionales. Exactamente lo que debería ser para una landing page de propósito único.</w:t>
      </w:r>
    </w:p>
    <w:p>
      <w:pPr>
        <w:spacing w:after="100" w:before="100"/>
      </w:pPr>
      <w:r>
        <w:t xml:space="preserve"/>
      </w:r>
    </w:p>
    <w:p>
      <w:pPr>
        <w:spacing w:after="100" w:before="200"/>
      </w:pPr>
      <w:r>
        <w:rPr>
          <w:rFonts w:ascii="Arial" w:cs="Arial" w:eastAsia="Arial" w:hAnsi="Arial"/>
          <w:b/>
          <w:bCs/>
          <w:color w:val="2C3E50"/>
          <w:sz w:val="22"/>
          <w:szCs w:val="22"/>
        </w:rPr>
        <w:t xml:space="preserve">Variables de entorno limpias</w:t>
      </w:r>
    </w:p>
    <w:p>
      <w:pPr>
        <w:spacing w:after="80" w:before="80"/>
      </w:pPr>
      <w:r>
        <w:rPr>
          <w:rFonts w:ascii="Arial" w:cs="Arial" w:eastAsia="Arial" w:hAnsi="Arial"/>
          <w:color w:val="2C3E50"/>
          <w:sz w:val="20"/>
          <w:szCs w:val="20"/>
        </w:rPr>
        <w:t xml:space="preserve">El .env de la landing solo contiene VITE_SUPABASE_URL y VITE_SUPABASE_ANON_KEY — las dos variables estrictamente necesarias. Sin tokens de acceso, sin credenciales sensibles, sin variables de debugging. Es el .env mejor configurado de los tres repositorios auditados.</w:t>
      </w:r>
    </w:p>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7. Plan de Acción Priorizado</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Fase 1 — Antes de escalar la campaña (urgente)</w:t>
      </w:r>
    </w:p>
    <w:p>
      <w:pPr>
        <w:pStyle w:val="ListParagraph"/>
        <w:numPr>
          <w:ilvl w:val="0"/>
          <w:numId w:val="2"/>
        </w:numPr>
        <w:spacing w:after="60" w:before="60"/>
      </w:pPr>
      <w:r>
        <w:rPr>
          <w:rFonts w:ascii="Arial" w:cs="Arial" w:eastAsia="Arial" w:hAnsi="Arial"/>
          <w:color w:val="2C3E50"/>
          <w:sz w:val="20"/>
          <w:szCs w:val="20"/>
        </w:rPr>
        <w:t xml:space="preserve">Corregir la política RLS de early_access_requests — separar COUNT público de SELECT privado (cambio en backend)</w:t>
      </w:r>
    </w:p>
    <w:p>
      <w:pPr>
        <w:pStyle w:val="ListParagraph"/>
        <w:numPr>
          <w:ilvl w:val="0"/>
          <w:numId w:val="2"/>
        </w:numPr>
        <w:spacing w:after="60" w:before="60"/>
      </w:pPr>
      <w:r>
        <w:rPr>
          <w:rFonts w:ascii="Arial" w:cs="Arial" w:eastAsia="Arial" w:hAnsi="Arial"/>
          <w:color w:val="2C3E50"/>
          <w:sz w:val="20"/>
          <w:szCs w:val="20"/>
        </w:rPr>
        <w:t xml:space="preserve">Reemplazar la URL hardcodeada de Supabase por la variable de entorno VITE_SUPABASE_URL en RequestAccessModal</w:t>
      </w:r>
    </w:p>
    <w:p>
      <w:pPr>
        <w:pStyle w:val="ListParagraph"/>
        <w:numPr>
          <w:ilvl w:val="0"/>
          <w:numId w:val="2"/>
        </w:numPr>
        <w:spacing w:after="60" w:before="60"/>
      </w:pPr>
      <w:r>
        <w:rPr>
          <w:rFonts w:ascii="Arial" w:cs="Arial" w:eastAsia="Arial" w:hAnsi="Arial"/>
          <w:color w:val="2C3E50"/>
          <w:sz w:val="20"/>
          <w:szCs w:val="20"/>
        </w:rPr>
        <w:t xml:space="preserve">Evaluar migración de earlyAccessOptions.ts a carga dinámica desde los endpoints de catálogo</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Fase 2 — Estabilización</w:t>
      </w:r>
    </w:p>
    <w:p>
      <w:pPr>
        <w:pStyle w:val="ListParagraph"/>
        <w:numPr>
          <w:ilvl w:val="0"/>
          <w:numId w:val="2"/>
        </w:numPr>
        <w:spacing w:after="60" w:before="60"/>
      </w:pPr>
      <w:r>
        <w:rPr>
          <w:rFonts w:ascii="Arial" w:cs="Arial" w:eastAsia="Arial" w:hAnsi="Arial"/>
          <w:color w:val="2C3E50"/>
          <w:sz w:val="20"/>
          <w:szCs w:val="20"/>
        </w:rPr>
        <w:t xml:space="preserve">Eliminar header apikey innecesario del fetch en RequestAccessModal</w:t>
      </w:r>
    </w:p>
    <w:p>
      <w:pPr>
        <w:pStyle w:val="ListParagraph"/>
        <w:numPr>
          <w:ilvl w:val="0"/>
          <w:numId w:val="2"/>
        </w:numPr>
        <w:spacing w:after="60" w:before="60"/>
      </w:pPr>
      <w:r>
        <w:rPr>
          <w:rFonts w:ascii="Arial" w:cs="Arial" w:eastAsia="Arial" w:hAnsi="Arial"/>
          <w:color w:val="2C3E50"/>
          <w:sz w:val="20"/>
          <w:szCs w:val="20"/>
        </w:rPr>
        <w:t xml:space="preserve">Mejorar validación de email en cliente y backend</w:t>
      </w:r>
    </w:p>
    <w:p>
      <w:pPr>
        <w:pStyle w:val="ListParagraph"/>
        <w:numPr>
          <w:ilvl w:val="0"/>
          <w:numId w:val="2"/>
        </w:numPr>
        <w:spacing w:after="60" w:before="60"/>
      </w:pPr>
      <w:r>
        <w:rPr>
          <w:rFonts w:ascii="Arial" w:cs="Arial" w:eastAsia="Arial" w:hAnsi="Arial"/>
          <w:color w:val="2C3E50"/>
          <w:sz w:val="20"/>
          <w:szCs w:val="20"/>
        </w:rPr>
        <w:t xml:space="preserve">Agregar validación de variables de entorno en src/lib/supabase.ts</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Fase 3 — Refinamiento</w:t>
      </w:r>
    </w:p>
    <w:p>
      <w:pPr>
        <w:pStyle w:val="ListParagraph"/>
        <w:numPr>
          <w:ilvl w:val="0"/>
          <w:numId w:val="2"/>
        </w:numPr>
        <w:spacing w:after="60" w:before="60"/>
      </w:pPr>
      <w:r>
        <w:rPr>
          <w:rFonts w:ascii="Arial" w:cs="Arial" w:eastAsia="Arial" w:hAnsi="Arial"/>
          <w:color w:val="2C3E50"/>
          <w:sz w:val="20"/>
          <w:szCs w:val="20"/>
        </w:rPr>
        <w:t xml:space="preserve">Renombrar useEarlyAccessCoutn.ts → useEarlyAccessCount.ts</w:t>
      </w:r>
    </w:p>
    <w:p>
      <w:pPr>
        <w:pStyle w:val="ListParagraph"/>
        <w:numPr>
          <w:ilvl w:val="0"/>
          <w:numId w:val="2"/>
        </w:numPr>
        <w:spacing w:after="60" w:before="60"/>
      </w:pPr>
      <w:r>
        <w:rPr>
          <w:rFonts w:ascii="Arial" w:cs="Arial" w:eastAsia="Arial" w:hAnsi="Arial"/>
          <w:color w:val="2C3E50"/>
          <w:sz w:val="20"/>
          <w:szCs w:val="20"/>
        </w:rPr>
        <w:t xml:space="preserve">Agregar feedback visual de validación en tiempo real en el modal</w:t>
      </w:r>
    </w:p>
    <w:p>
      <w:pPr>
        <w:pStyle w:val="ListParagraph"/>
        <w:numPr>
          <w:ilvl w:val="0"/>
          <w:numId w:val="2"/>
        </w:numPr>
        <w:spacing w:after="60" w:before="60"/>
      </w:pPr>
      <w:r>
        <w:rPr>
          <w:rFonts w:ascii="Arial" w:cs="Arial" w:eastAsia="Arial" w:hAnsi="Arial"/>
          <w:color w:val="2C3E50"/>
          <w:sz w:val="20"/>
          <w:szCs w:val="20"/>
        </w:rPr>
        <w:t xml:space="preserve">Internacionalizar labels de plataformas y roles si se mantienen hardcodeados</w:t>
      </w:r>
    </w:p>
    <w:p>
      <w:pPr>
        <w:spacing w:after="100" w:before="100"/>
      </w:pPr>
      <w:r>
        <w:t xml:space="preserve"/>
      </w:r>
    </w:p>
    <w:p>
      <w:pPr>
        <w:pBdr>
          <w:bottom w:val="single" w:color="DDDDDD" w:sz="4"/>
        </w:pBdr>
        <w:spacing w:after="200" w:before="200"/>
      </w:pPr>
      <w:r>
        <w:t xml:space="preserve"/>
      </w:r>
    </w:p>
    <w:p>
      <w:pPr>
        <w:spacing w:after="100" w:before="400"/>
      </w:pPr>
      <w:r>
        <w:rPr>
          <w:rFonts w:ascii="Arial" w:cs="Arial" w:eastAsia="Arial" w:hAnsi="Arial"/>
          <w:color w:val="7F8C8D"/>
          <w:sz w:val="16"/>
          <w:szCs w:val="16"/>
        </w:rPr>
        <w:t xml:space="preserve">Content Intelligence Platform  ·  Auditoría Frontend Landing v1.0  ·  Abril 2026</w:t>
      </w:r>
    </w:p>
    <w:p>
      <w:pPr>
        <w:spacing w:after="0" w:before="0"/>
      </w:pPr>
      <w:r>
        <w:rPr>
          <w:rFonts w:ascii="Arial" w:cs="Arial" w:eastAsia="Arial" w:hAnsi="Arial"/>
          <w:i/>
          <w:iCs/>
          <w:color w:val="7F8C8D"/>
          <w:sz w:val="16"/>
          <w:szCs w:val="16"/>
        </w:rPr>
        <w:t xml:space="preserve">Documento de uso interno. Actualizar tras cada ciclo de desarrollo.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2026-04-14T04:36:17.946Z</dcterms:created>
  <dcterms:modified xsi:type="dcterms:W3CDTF">2026-04-14T04:36:17.947Z</dcterms:modified>
</cp:coreProperties>
</file>

<file path=docProps/custom.xml><?xml version="1.0" encoding="utf-8"?>
<Properties xmlns="http://schemas.openxmlformats.org/officeDocument/2006/custom-properties" xmlns:vt="http://schemas.openxmlformats.org/officeDocument/2006/docPropsVTypes"/>
</file>