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54254E" w14:textId="77777777" w:rsidR="00DB08D5" w:rsidRDefault="00000000">
      <w:pPr>
        <w:pStyle w:val="Heading1"/>
      </w:pPr>
      <w:bookmarkStart w:id="0" w:name="_Hlk192567242"/>
      <w:r>
        <w:t>Appendix F: Statistical Data on Violence and Road Accessibility in Ituri Province</w:t>
      </w:r>
    </w:p>
    <w:p w14:paraId="4E27C4A0" w14:textId="77777777" w:rsidR="00DB08D5" w:rsidRDefault="00000000">
      <w:r>
        <w:t>This appendix presents statistical data on the relationship between road infrastructure and the ongoing conflict in Ituri Province, DRC. The data is drawn from government records, MONUSCO reports, humanitarian organizations, and field surveys conducted during the study.</w:t>
      </w:r>
    </w:p>
    <w:p w14:paraId="66AF1D2B" w14:textId="77777777" w:rsidR="00DB08D5" w:rsidRDefault="00000000">
      <w:pPr>
        <w:pStyle w:val="Heading2"/>
      </w:pPr>
      <w:r>
        <w:t>F.1 Correlation Between Road Development and Reduction in Violent Incidents</w:t>
      </w:r>
    </w:p>
    <w:tbl>
      <w:tblPr>
        <w:tblStyle w:val="TableGrid"/>
        <w:tblW w:w="0" w:type="auto"/>
        <w:tblLook w:val="04A0" w:firstRow="1" w:lastRow="0" w:firstColumn="1" w:lastColumn="0" w:noHBand="0" w:noVBand="1"/>
      </w:tblPr>
      <w:tblGrid>
        <w:gridCol w:w="2880"/>
        <w:gridCol w:w="2880"/>
        <w:gridCol w:w="2880"/>
      </w:tblGrid>
      <w:tr w:rsidR="00DB08D5" w14:paraId="4C207406" w14:textId="77777777" w:rsidTr="006B7339">
        <w:tc>
          <w:tcPr>
            <w:tcW w:w="2880" w:type="dxa"/>
          </w:tcPr>
          <w:p w14:paraId="66FEF2CE" w14:textId="77777777" w:rsidR="00DB08D5" w:rsidRDefault="00000000">
            <w:r>
              <w:t>Year</w:t>
            </w:r>
          </w:p>
        </w:tc>
        <w:tc>
          <w:tcPr>
            <w:tcW w:w="2880" w:type="dxa"/>
          </w:tcPr>
          <w:p w14:paraId="5DB5B029" w14:textId="77777777" w:rsidR="00DB08D5" w:rsidRDefault="00000000">
            <w:r>
              <w:t>Violent Incidents in Poor Road Areas</w:t>
            </w:r>
          </w:p>
        </w:tc>
        <w:tc>
          <w:tcPr>
            <w:tcW w:w="2880" w:type="dxa"/>
          </w:tcPr>
          <w:p w14:paraId="1E34013E" w14:textId="77777777" w:rsidR="00DB08D5" w:rsidRDefault="00000000">
            <w:r>
              <w:t>Violent Incidents in Improved Road Areas</w:t>
            </w:r>
          </w:p>
        </w:tc>
      </w:tr>
      <w:tr w:rsidR="00DB08D5" w14:paraId="3AAAB356" w14:textId="77777777" w:rsidTr="006B7339">
        <w:tc>
          <w:tcPr>
            <w:tcW w:w="2880" w:type="dxa"/>
          </w:tcPr>
          <w:p w14:paraId="2CD7AF5D" w14:textId="77777777" w:rsidR="00DB08D5" w:rsidRDefault="00000000">
            <w:r>
              <w:t>2018</w:t>
            </w:r>
          </w:p>
        </w:tc>
        <w:tc>
          <w:tcPr>
            <w:tcW w:w="2880" w:type="dxa"/>
          </w:tcPr>
          <w:p w14:paraId="696F5115" w14:textId="77777777" w:rsidR="00DB08D5" w:rsidRDefault="00000000">
            <w:r>
              <w:t>312</w:t>
            </w:r>
          </w:p>
        </w:tc>
        <w:tc>
          <w:tcPr>
            <w:tcW w:w="2880" w:type="dxa"/>
          </w:tcPr>
          <w:p w14:paraId="6E868BB6" w14:textId="77777777" w:rsidR="00DB08D5" w:rsidRDefault="00000000">
            <w:r>
              <w:t>98</w:t>
            </w:r>
          </w:p>
        </w:tc>
      </w:tr>
      <w:tr w:rsidR="00DB08D5" w14:paraId="0AE5CC4A" w14:textId="77777777" w:rsidTr="006B7339">
        <w:tc>
          <w:tcPr>
            <w:tcW w:w="2880" w:type="dxa"/>
          </w:tcPr>
          <w:p w14:paraId="41AECB93" w14:textId="77777777" w:rsidR="00DB08D5" w:rsidRDefault="00000000">
            <w:r>
              <w:t>2019</w:t>
            </w:r>
          </w:p>
        </w:tc>
        <w:tc>
          <w:tcPr>
            <w:tcW w:w="2880" w:type="dxa"/>
          </w:tcPr>
          <w:p w14:paraId="69C49E5E" w14:textId="77777777" w:rsidR="00DB08D5" w:rsidRDefault="00000000">
            <w:r>
              <w:t>289</w:t>
            </w:r>
          </w:p>
        </w:tc>
        <w:tc>
          <w:tcPr>
            <w:tcW w:w="2880" w:type="dxa"/>
          </w:tcPr>
          <w:p w14:paraId="36FC5F6E" w14:textId="77777777" w:rsidR="00DB08D5" w:rsidRDefault="00000000">
            <w:r>
              <w:t>85</w:t>
            </w:r>
          </w:p>
        </w:tc>
      </w:tr>
      <w:tr w:rsidR="00DB08D5" w14:paraId="65684A70" w14:textId="77777777" w:rsidTr="006B7339">
        <w:tc>
          <w:tcPr>
            <w:tcW w:w="2880" w:type="dxa"/>
          </w:tcPr>
          <w:p w14:paraId="2CDAF7BE" w14:textId="77777777" w:rsidR="00DB08D5" w:rsidRDefault="00000000">
            <w:r>
              <w:t>2020</w:t>
            </w:r>
          </w:p>
        </w:tc>
        <w:tc>
          <w:tcPr>
            <w:tcW w:w="2880" w:type="dxa"/>
          </w:tcPr>
          <w:p w14:paraId="675F0B17" w14:textId="77777777" w:rsidR="00DB08D5" w:rsidRDefault="00000000">
            <w:r>
              <w:t>277</w:t>
            </w:r>
          </w:p>
        </w:tc>
        <w:tc>
          <w:tcPr>
            <w:tcW w:w="2880" w:type="dxa"/>
          </w:tcPr>
          <w:p w14:paraId="44394DBE" w14:textId="77777777" w:rsidR="00DB08D5" w:rsidRDefault="00000000">
            <w:r>
              <w:t>73</w:t>
            </w:r>
          </w:p>
        </w:tc>
      </w:tr>
      <w:tr w:rsidR="00DB08D5" w14:paraId="0535ECDC" w14:textId="77777777" w:rsidTr="006B7339">
        <w:tc>
          <w:tcPr>
            <w:tcW w:w="2880" w:type="dxa"/>
          </w:tcPr>
          <w:p w14:paraId="6CFC9169" w14:textId="77777777" w:rsidR="00DB08D5" w:rsidRDefault="00000000">
            <w:r>
              <w:t>2021</w:t>
            </w:r>
          </w:p>
        </w:tc>
        <w:tc>
          <w:tcPr>
            <w:tcW w:w="2880" w:type="dxa"/>
          </w:tcPr>
          <w:p w14:paraId="30636A79" w14:textId="77777777" w:rsidR="00DB08D5" w:rsidRDefault="00000000">
            <w:r>
              <w:t>261</w:t>
            </w:r>
          </w:p>
        </w:tc>
        <w:tc>
          <w:tcPr>
            <w:tcW w:w="2880" w:type="dxa"/>
          </w:tcPr>
          <w:p w14:paraId="70F86B36" w14:textId="77777777" w:rsidR="00DB08D5" w:rsidRDefault="00000000">
            <w:r>
              <w:t>61</w:t>
            </w:r>
          </w:p>
        </w:tc>
      </w:tr>
      <w:tr w:rsidR="00DB08D5" w14:paraId="1FFA15F0" w14:textId="77777777" w:rsidTr="006B7339">
        <w:tc>
          <w:tcPr>
            <w:tcW w:w="2880" w:type="dxa"/>
          </w:tcPr>
          <w:p w14:paraId="00CC5951" w14:textId="77777777" w:rsidR="00DB08D5" w:rsidRDefault="00000000">
            <w:r>
              <w:t>2022</w:t>
            </w:r>
          </w:p>
        </w:tc>
        <w:tc>
          <w:tcPr>
            <w:tcW w:w="2880" w:type="dxa"/>
          </w:tcPr>
          <w:p w14:paraId="3A8B1E0A" w14:textId="77777777" w:rsidR="00DB08D5" w:rsidRDefault="00000000">
            <w:r>
              <w:t>245</w:t>
            </w:r>
          </w:p>
        </w:tc>
        <w:tc>
          <w:tcPr>
            <w:tcW w:w="2880" w:type="dxa"/>
          </w:tcPr>
          <w:p w14:paraId="060C4685" w14:textId="77777777" w:rsidR="00DB08D5" w:rsidRDefault="00000000">
            <w:r>
              <w:t>53</w:t>
            </w:r>
          </w:p>
        </w:tc>
      </w:tr>
      <w:tr w:rsidR="00DB08D5" w14:paraId="5E3ADCAF" w14:textId="77777777" w:rsidTr="006B7339">
        <w:tc>
          <w:tcPr>
            <w:tcW w:w="2880" w:type="dxa"/>
          </w:tcPr>
          <w:p w14:paraId="582865D0" w14:textId="77777777" w:rsidR="00DB08D5" w:rsidRDefault="00000000">
            <w:r>
              <w:t>2023</w:t>
            </w:r>
          </w:p>
        </w:tc>
        <w:tc>
          <w:tcPr>
            <w:tcW w:w="2880" w:type="dxa"/>
          </w:tcPr>
          <w:p w14:paraId="20D6BD4C" w14:textId="77777777" w:rsidR="00DB08D5" w:rsidRDefault="00000000">
            <w:r>
              <w:t>218</w:t>
            </w:r>
          </w:p>
        </w:tc>
        <w:tc>
          <w:tcPr>
            <w:tcW w:w="2880" w:type="dxa"/>
          </w:tcPr>
          <w:p w14:paraId="6928D331" w14:textId="77777777" w:rsidR="00DB08D5" w:rsidRDefault="00000000">
            <w:r>
              <w:t>48</w:t>
            </w:r>
          </w:p>
        </w:tc>
      </w:tr>
    </w:tbl>
    <w:p w14:paraId="13311645" w14:textId="77777777" w:rsidR="00DB08D5" w:rsidRDefault="00000000">
      <w:r>
        <w:t>Key Insight: Areas with better roads saw fewer violent incidents over time, while violence remained high in regions with poor road connectivity.</w:t>
      </w:r>
    </w:p>
    <w:p w14:paraId="5D300FBC" w14:textId="77777777" w:rsidR="00DB08D5" w:rsidRDefault="00000000">
      <w:pPr>
        <w:pStyle w:val="Heading2"/>
      </w:pPr>
      <w:r>
        <w:t>F.2 Peacekeeping Response Times and Road Infrastructure</w:t>
      </w:r>
    </w:p>
    <w:tbl>
      <w:tblPr>
        <w:tblStyle w:val="TableGrid"/>
        <w:tblW w:w="0" w:type="auto"/>
        <w:tblLook w:val="04A0" w:firstRow="1" w:lastRow="0" w:firstColumn="1" w:lastColumn="0" w:noHBand="0" w:noVBand="1"/>
      </w:tblPr>
      <w:tblGrid>
        <w:gridCol w:w="2880"/>
        <w:gridCol w:w="2880"/>
        <w:gridCol w:w="2880"/>
      </w:tblGrid>
      <w:tr w:rsidR="00DB08D5" w14:paraId="632BF89A" w14:textId="77777777" w:rsidTr="006B7339">
        <w:tc>
          <w:tcPr>
            <w:tcW w:w="2880" w:type="dxa"/>
          </w:tcPr>
          <w:p w14:paraId="17D881C1" w14:textId="77777777" w:rsidR="00DB08D5" w:rsidRDefault="00000000">
            <w:r>
              <w:t>Road Condition</w:t>
            </w:r>
          </w:p>
        </w:tc>
        <w:tc>
          <w:tcPr>
            <w:tcW w:w="2880" w:type="dxa"/>
          </w:tcPr>
          <w:p w14:paraId="67F69683" w14:textId="77777777" w:rsidR="00DB08D5" w:rsidRDefault="00000000">
            <w:r>
              <w:t>Response Time (2018)</w:t>
            </w:r>
          </w:p>
        </w:tc>
        <w:tc>
          <w:tcPr>
            <w:tcW w:w="2880" w:type="dxa"/>
          </w:tcPr>
          <w:p w14:paraId="79F911C7" w14:textId="77777777" w:rsidR="00DB08D5" w:rsidRDefault="00000000">
            <w:r>
              <w:t>Response Time (2023)</w:t>
            </w:r>
          </w:p>
        </w:tc>
      </w:tr>
      <w:tr w:rsidR="00DB08D5" w14:paraId="4F2EB917" w14:textId="77777777" w:rsidTr="006B7339">
        <w:tc>
          <w:tcPr>
            <w:tcW w:w="2880" w:type="dxa"/>
          </w:tcPr>
          <w:p w14:paraId="5061E7BF" w14:textId="77777777" w:rsidR="00DB08D5" w:rsidRDefault="00000000">
            <w:r>
              <w:t>Poor Road Network</w:t>
            </w:r>
          </w:p>
        </w:tc>
        <w:tc>
          <w:tcPr>
            <w:tcW w:w="2880" w:type="dxa"/>
          </w:tcPr>
          <w:p w14:paraId="570472D6" w14:textId="77777777" w:rsidR="00DB08D5" w:rsidRDefault="00000000">
            <w:r>
              <w:t>18.5 hours</w:t>
            </w:r>
          </w:p>
        </w:tc>
        <w:tc>
          <w:tcPr>
            <w:tcW w:w="2880" w:type="dxa"/>
          </w:tcPr>
          <w:p w14:paraId="60B65D86" w14:textId="77777777" w:rsidR="00DB08D5" w:rsidRDefault="00000000">
            <w:r>
              <w:t>15.2 hours</w:t>
            </w:r>
          </w:p>
        </w:tc>
      </w:tr>
      <w:tr w:rsidR="00DB08D5" w14:paraId="47A05007" w14:textId="77777777" w:rsidTr="006B7339">
        <w:tc>
          <w:tcPr>
            <w:tcW w:w="2880" w:type="dxa"/>
          </w:tcPr>
          <w:p w14:paraId="4E7F9846" w14:textId="77777777" w:rsidR="00DB08D5" w:rsidRDefault="00000000">
            <w:r>
              <w:t>Well-Developed Roads</w:t>
            </w:r>
          </w:p>
        </w:tc>
        <w:tc>
          <w:tcPr>
            <w:tcW w:w="2880" w:type="dxa"/>
          </w:tcPr>
          <w:p w14:paraId="10018502" w14:textId="77777777" w:rsidR="00DB08D5" w:rsidRDefault="00000000">
            <w:r>
              <w:t>6.3 hours</w:t>
            </w:r>
          </w:p>
        </w:tc>
        <w:tc>
          <w:tcPr>
            <w:tcW w:w="2880" w:type="dxa"/>
          </w:tcPr>
          <w:p w14:paraId="25584D75" w14:textId="77777777" w:rsidR="00DB08D5" w:rsidRDefault="00000000">
            <w:r>
              <w:t>4.8 hours</w:t>
            </w:r>
          </w:p>
        </w:tc>
      </w:tr>
    </w:tbl>
    <w:p w14:paraId="6C2B042B" w14:textId="77777777" w:rsidR="00DB08D5" w:rsidRDefault="00000000">
      <w:r>
        <w:t>Key Insight: MONUSCO response times were significantly lower in areas with better road connectivity, allowing them to intervene faster and reduce casualties.</w:t>
      </w:r>
    </w:p>
    <w:p w14:paraId="494BC77A" w14:textId="77777777" w:rsidR="00DB08D5" w:rsidRDefault="00000000">
      <w:pPr>
        <w:pStyle w:val="Heading2"/>
      </w:pPr>
      <w:r>
        <w:t>F.3 Access to Humanitarian Aid in Road-Connected vs. Remote Areas</w:t>
      </w:r>
    </w:p>
    <w:tbl>
      <w:tblPr>
        <w:tblStyle w:val="TableGrid"/>
        <w:tblW w:w="0" w:type="auto"/>
        <w:tblLook w:val="04A0" w:firstRow="1" w:lastRow="0" w:firstColumn="1" w:lastColumn="0" w:noHBand="0" w:noVBand="1"/>
      </w:tblPr>
      <w:tblGrid>
        <w:gridCol w:w="2835"/>
        <w:gridCol w:w="2835"/>
        <w:gridCol w:w="2835"/>
      </w:tblGrid>
      <w:tr w:rsidR="00DB08D5" w14:paraId="76CC7CA9" w14:textId="77777777" w:rsidTr="006B7339">
        <w:trPr>
          <w:trHeight w:val="800"/>
        </w:trPr>
        <w:tc>
          <w:tcPr>
            <w:tcW w:w="2835" w:type="dxa"/>
          </w:tcPr>
          <w:p w14:paraId="7B3075D9" w14:textId="77777777" w:rsidR="00DB08D5" w:rsidRDefault="00000000">
            <w:r>
              <w:t>Year</w:t>
            </w:r>
          </w:p>
        </w:tc>
        <w:tc>
          <w:tcPr>
            <w:tcW w:w="2835" w:type="dxa"/>
          </w:tcPr>
          <w:p w14:paraId="0D260091" w14:textId="77777777" w:rsidR="00DB08D5" w:rsidRDefault="00000000">
            <w:r>
              <w:t>% Aid Received in Road-Connected Areas</w:t>
            </w:r>
          </w:p>
        </w:tc>
        <w:tc>
          <w:tcPr>
            <w:tcW w:w="2835" w:type="dxa"/>
          </w:tcPr>
          <w:p w14:paraId="05F08289" w14:textId="77777777" w:rsidR="00DB08D5" w:rsidRDefault="00000000">
            <w:r>
              <w:t>% Aid Received in Remote Areas</w:t>
            </w:r>
          </w:p>
        </w:tc>
      </w:tr>
      <w:tr w:rsidR="00DB08D5" w14:paraId="61F25461" w14:textId="77777777" w:rsidTr="006B7339">
        <w:trPr>
          <w:trHeight w:val="509"/>
        </w:trPr>
        <w:tc>
          <w:tcPr>
            <w:tcW w:w="2835" w:type="dxa"/>
          </w:tcPr>
          <w:p w14:paraId="73EE7370" w14:textId="77777777" w:rsidR="00DB08D5" w:rsidRDefault="00000000" w:rsidP="006B7339">
            <w:r>
              <w:t>2018</w:t>
            </w:r>
          </w:p>
        </w:tc>
        <w:tc>
          <w:tcPr>
            <w:tcW w:w="2835" w:type="dxa"/>
          </w:tcPr>
          <w:p w14:paraId="1DCF894C" w14:textId="77777777" w:rsidR="00DB08D5" w:rsidRDefault="00000000" w:rsidP="006B7339">
            <w:r>
              <w:t>67%</w:t>
            </w:r>
          </w:p>
        </w:tc>
        <w:tc>
          <w:tcPr>
            <w:tcW w:w="2835" w:type="dxa"/>
          </w:tcPr>
          <w:p w14:paraId="3DD2FAF5" w14:textId="77777777" w:rsidR="00DB08D5" w:rsidRDefault="00000000" w:rsidP="006B7339">
            <w:r>
              <w:t>32%</w:t>
            </w:r>
          </w:p>
        </w:tc>
      </w:tr>
      <w:tr w:rsidR="00DB08D5" w14:paraId="24B98AD4" w14:textId="77777777" w:rsidTr="006B7339">
        <w:trPr>
          <w:trHeight w:val="497"/>
        </w:trPr>
        <w:tc>
          <w:tcPr>
            <w:tcW w:w="2835" w:type="dxa"/>
          </w:tcPr>
          <w:p w14:paraId="289C031A" w14:textId="77777777" w:rsidR="00DB08D5" w:rsidRDefault="00000000" w:rsidP="006B7339">
            <w:r>
              <w:t>2019</w:t>
            </w:r>
          </w:p>
        </w:tc>
        <w:tc>
          <w:tcPr>
            <w:tcW w:w="2835" w:type="dxa"/>
          </w:tcPr>
          <w:p w14:paraId="042FCB93" w14:textId="77777777" w:rsidR="00DB08D5" w:rsidRDefault="00000000" w:rsidP="006B7339">
            <w:r>
              <w:t>71%</w:t>
            </w:r>
          </w:p>
        </w:tc>
        <w:tc>
          <w:tcPr>
            <w:tcW w:w="2835" w:type="dxa"/>
          </w:tcPr>
          <w:p w14:paraId="38A172B0" w14:textId="77777777" w:rsidR="00DB08D5" w:rsidRDefault="00000000" w:rsidP="006B7339">
            <w:r>
              <w:t>35%</w:t>
            </w:r>
          </w:p>
        </w:tc>
      </w:tr>
      <w:tr w:rsidR="00DB08D5" w14:paraId="31EFEF4A" w14:textId="77777777" w:rsidTr="006B7339">
        <w:trPr>
          <w:trHeight w:val="509"/>
        </w:trPr>
        <w:tc>
          <w:tcPr>
            <w:tcW w:w="2835" w:type="dxa"/>
          </w:tcPr>
          <w:p w14:paraId="7D0FA607" w14:textId="77777777" w:rsidR="00DB08D5" w:rsidRDefault="00000000" w:rsidP="006B7339">
            <w:r>
              <w:t>2020</w:t>
            </w:r>
          </w:p>
        </w:tc>
        <w:tc>
          <w:tcPr>
            <w:tcW w:w="2835" w:type="dxa"/>
          </w:tcPr>
          <w:p w14:paraId="5C615187" w14:textId="77777777" w:rsidR="00DB08D5" w:rsidRDefault="00000000" w:rsidP="006B7339">
            <w:r>
              <w:t>76%</w:t>
            </w:r>
          </w:p>
        </w:tc>
        <w:tc>
          <w:tcPr>
            <w:tcW w:w="2835" w:type="dxa"/>
          </w:tcPr>
          <w:p w14:paraId="1C8192F8" w14:textId="77777777" w:rsidR="00DB08D5" w:rsidRDefault="00000000" w:rsidP="006B7339">
            <w:r>
              <w:t>38%</w:t>
            </w:r>
          </w:p>
        </w:tc>
      </w:tr>
      <w:tr w:rsidR="00DB08D5" w14:paraId="0152C1E7" w14:textId="77777777" w:rsidTr="006B7339">
        <w:trPr>
          <w:trHeight w:val="497"/>
        </w:trPr>
        <w:tc>
          <w:tcPr>
            <w:tcW w:w="2835" w:type="dxa"/>
          </w:tcPr>
          <w:p w14:paraId="5CBBB064" w14:textId="77777777" w:rsidR="00DB08D5" w:rsidRDefault="00000000" w:rsidP="006B7339">
            <w:r>
              <w:t>2021</w:t>
            </w:r>
          </w:p>
        </w:tc>
        <w:tc>
          <w:tcPr>
            <w:tcW w:w="2835" w:type="dxa"/>
          </w:tcPr>
          <w:p w14:paraId="276AC33F" w14:textId="77777777" w:rsidR="00DB08D5" w:rsidRDefault="00000000" w:rsidP="006B7339">
            <w:r>
              <w:t>81%</w:t>
            </w:r>
          </w:p>
        </w:tc>
        <w:tc>
          <w:tcPr>
            <w:tcW w:w="2835" w:type="dxa"/>
          </w:tcPr>
          <w:p w14:paraId="45D11656" w14:textId="77777777" w:rsidR="00DB08D5" w:rsidRDefault="00000000" w:rsidP="006B7339">
            <w:r>
              <w:t>41%</w:t>
            </w:r>
          </w:p>
        </w:tc>
      </w:tr>
      <w:tr w:rsidR="00DB08D5" w14:paraId="4028D8A2" w14:textId="77777777" w:rsidTr="006B7339">
        <w:trPr>
          <w:trHeight w:val="497"/>
        </w:trPr>
        <w:tc>
          <w:tcPr>
            <w:tcW w:w="2835" w:type="dxa"/>
          </w:tcPr>
          <w:p w14:paraId="5EE57A88" w14:textId="77777777" w:rsidR="00DB08D5" w:rsidRDefault="00000000" w:rsidP="006B7339">
            <w:r>
              <w:t>2022</w:t>
            </w:r>
          </w:p>
        </w:tc>
        <w:tc>
          <w:tcPr>
            <w:tcW w:w="2835" w:type="dxa"/>
          </w:tcPr>
          <w:p w14:paraId="249A956A" w14:textId="77777777" w:rsidR="00DB08D5" w:rsidRDefault="00000000" w:rsidP="006B7339">
            <w:r>
              <w:t>85%</w:t>
            </w:r>
          </w:p>
        </w:tc>
        <w:tc>
          <w:tcPr>
            <w:tcW w:w="2835" w:type="dxa"/>
          </w:tcPr>
          <w:p w14:paraId="5962D8ED" w14:textId="77777777" w:rsidR="00DB08D5" w:rsidRDefault="00000000" w:rsidP="006B7339">
            <w:r>
              <w:t>45%</w:t>
            </w:r>
          </w:p>
        </w:tc>
      </w:tr>
      <w:tr w:rsidR="00DB08D5" w14:paraId="145FB0CB" w14:textId="77777777" w:rsidTr="006B7339">
        <w:trPr>
          <w:trHeight w:val="509"/>
        </w:trPr>
        <w:tc>
          <w:tcPr>
            <w:tcW w:w="2835" w:type="dxa"/>
          </w:tcPr>
          <w:p w14:paraId="7A0BA533" w14:textId="77777777" w:rsidR="00DB08D5" w:rsidRDefault="00000000" w:rsidP="006B7339">
            <w:r>
              <w:t>2023</w:t>
            </w:r>
          </w:p>
        </w:tc>
        <w:tc>
          <w:tcPr>
            <w:tcW w:w="2835" w:type="dxa"/>
          </w:tcPr>
          <w:p w14:paraId="2BCD9A60" w14:textId="77777777" w:rsidR="00DB08D5" w:rsidRDefault="00000000" w:rsidP="006B7339">
            <w:r>
              <w:t>89%</w:t>
            </w:r>
          </w:p>
        </w:tc>
        <w:tc>
          <w:tcPr>
            <w:tcW w:w="2835" w:type="dxa"/>
          </w:tcPr>
          <w:p w14:paraId="09A830AA" w14:textId="77777777" w:rsidR="00DB08D5" w:rsidRDefault="00000000" w:rsidP="006B7339">
            <w:r>
              <w:t>49%</w:t>
            </w:r>
          </w:p>
        </w:tc>
      </w:tr>
    </w:tbl>
    <w:p w14:paraId="360E16B7" w14:textId="77777777" w:rsidR="00DB08D5" w:rsidRDefault="00000000">
      <w:r>
        <w:t>Key Insight: In regions with better roads, humanitarian aid reached nearly 90% of the population, whereas in remote areas, less than half of the affected people received aid.</w:t>
      </w:r>
    </w:p>
    <w:p w14:paraId="558A4272" w14:textId="77777777" w:rsidR="00DB08D5" w:rsidRDefault="00000000">
      <w:pPr>
        <w:pStyle w:val="Heading2"/>
      </w:pPr>
      <w:r>
        <w:lastRenderedPageBreak/>
        <w:t>F.4 Economic Impact of Road Development in Conflict Zones</w:t>
      </w:r>
    </w:p>
    <w:p w14:paraId="3423F2B2" w14:textId="77777777" w:rsidR="00DB08D5" w:rsidRDefault="00000000">
      <w:r>
        <w:t>Statistical data indicates that trade and market visits doubled in regions with road improvements, leading to increased economic cooperation between communities.</w:t>
      </w:r>
    </w:p>
    <w:p w14:paraId="622263FD" w14:textId="77777777" w:rsidR="00DB08D5" w:rsidRDefault="00000000">
      <w:pPr>
        <w:pStyle w:val="Heading2"/>
      </w:pPr>
      <w:r>
        <w:t>F.5 Community Perceptions of Security Improvement Post-Road Development</w:t>
      </w:r>
    </w:p>
    <w:tbl>
      <w:tblPr>
        <w:tblStyle w:val="TableGrid"/>
        <w:tblW w:w="0" w:type="auto"/>
        <w:tblLook w:val="04A0" w:firstRow="1" w:lastRow="0" w:firstColumn="1" w:lastColumn="0" w:noHBand="0" w:noVBand="1"/>
      </w:tblPr>
      <w:tblGrid>
        <w:gridCol w:w="2880"/>
        <w:gridCol w:w="2880"/>
        <w:gridCol w:w="2880"/>
      </w:tblGrid>
      <w:tr w:rsidR="00DB08D5" w14:paraId="2F699065" w14:textId="77777777" w:rsidTr="006B7339">
        <w:tc>
          <w:tcPr>
            <w:tcW w:w="2880" w:type="dxa"/>
          </w:tcPr>
          <w:p w14:paraId="5C62CC22" w14:textId="77777777" w:rsidR="00DB08D5" w:rsidRDefault="00000000">
            <w:r>
              <w:t>Year</w:t>
            </w:r>
          </w:p>
        </w:tc>
        <w:tc>
          <w:tcPr>
            <w:tcW w:w="2880" w:type="dxa"/>
          </w:tcPr>
          <w:p w14:paraId="553E0B6B" w14:textId="77777777" w:rsidR="00DB08D5" w:rsidRDefault="00000000">
            <w:r>
              <w:t>% Feeling Safer in Road-Connected Areas</w:t>
            </w:r>
          </w:p>
        </w:tc>
        <w:tc>
          <w:tcPr>
            <w:tcW w:w="2880" w:type="dxa"/>
          </w:tcPr>
          <w:p w14:paraId="4848E442" w14:textId="77777777" w:rsidR="00DB08D5" w:rsidRDefault="00000000">
            <w:r>
              <w:t>% Feeling Safer in Remote Areas</w:t>
            </w:r>
          </w:p>
        </w:tc>
      </w:tr>
      <w:tr w:rsidR="00DB08D5" w14:paraId="11C0BAB3" w14:textId="77777777" w:rsidTr="006B7339">
        <w:tc>
          <w:tcPr>
            <w:tcW w:w="2880" w:type="dxa"/>
          </w:tcPr>
          <w:p w14:paraId="53705328" w14:textId="77777777" w:rsidR="00DB08D5" w:rsidRDefault="00000000">
            <w:r>
              <w:t>2018</w:t>
            </w:r>
          </w:p>
        </w:tc>
        <w:tc>
          <w:tcPr>
            <w:tcW w:w="2880" w:type="dxa"/>
          </w:tcPr>
          <w:p w14:paraId="17331733" w14:textId="77777777" w:rsidR="00DB08D5" w:rsidRDefault="00000000">
            <w:r>
              <w:t>32%</w:t>
            </w:r>
          </w:p>
        </w:tc>
        <w:tc>
          <w:tcPr>
            <w:tcW w:w="2880" w:type="dxa"/>
          </w:tcPr>
          <w:p w14:paraId="1E0DC80F" w14:textId="77777777" w:rsidR="00DB08D5" w:rsidRDefault="00000000">
            <w:r>
              <w:t>18%</w:t>
            </w:r>
          </w:p>
        </w:tc>
      </w:tr>
      <w:tr w:rsidR="00DB08D5" w14:paraId="236CD9A4" w14:textId="77777777" w:rsidTr="006B7339">
        <w:tc>
          <w:tcPr>
            <w:tcW w:w="2880" w:type="dxa"/>
          </w:tcPr>
          <w:p w14:paraId="29C710F0" w14:textId="77777777" w:rsidR="00DB08D5" w:rsidRDefault="00000000">
            <w:r>
              <w:t>2019</w:t>
            </w:r>
          </w:p>
        </w:tc>
        <w:tc>
          <w:tcPr>
            <w:tcW w:w="2880" w:type="dxa"/>
          </w:tcPr>
          <w:p w14:paraId="54E18B99" w14:textId="77777777" w:rsidR="00DB08D5" w:rsidRDefault="00000000">
            <w:r>
              <w:t>39%</w:t>
            </w:r>
          </w:p>
        </w:tc>
        <w:tc>
          <w:tcPr>
            <w:tcW w:w="2880" w:type="dxa"/>
          </w:tcPr>
          <w:p w14:paraId="6BB54033" w14:textId="77777777" w:rsidR="00DB08D5" w:rsidRDefault="00000000">
            <w:r>
              <w:t>22%</w:t>
            </w:r>
          </w:p>
        </w:tc>
      </w:tr>
      <w:tr w:rsidR="00DB08D5" w14:paraId="077215F6" w14:textId="77777777" w:rsidTr="006B7339">
        <w:tc>
          <w:tcPr>
            <w:tcW w:w="2880" w:type="dxa"/>
          </w:tcPr>
          <w:p w14:paraId="21E63ED3" w14:textId="77777777" w:rsidR="00DB08D5" w:rsidRDefault="00000000">
            <w:r>
              <w:t>2020</w:t>
            </w:r>
          </w:p>
        </w:tc>
        <w:tc>
          <w:tcPr>
            <w:tcW w:w="2880" w:type="dxa"/>
          </w:tcPr>
          <w:p w14:paraId="1904DAC1" w14:textId="77777777" w:rsidR="00DB08D5" w:rsidRDefault="00000000">
            <w:r>
              <w:t>45%</w:t>
            </w:r>
          </w:p>
        </w:tc>
        <w:tc>
          <w:tcPr>
            <w:tcW w:w="2880" w:type="dxa"/>
          </w:tcPr>
          <w:p w14:paraId="6A48D722" w14:textId="77777777" w:rsidR="00DB08D5" w:rsidRDefault="00000000">
            <w:r>
              <w:t>26%</w:t>
            </w:r>
          </w:p>
        </w:tc>
      </w:tr>
      <w:tr w:rsidR="00DB08D5" w14:paraId="75E238DF" w14:textId="77777777" w:rsidTr="006B7339">
        <w:tc>
          <w:tcPr>
            <w:tcW w:w="2880" w:type="dxa"/>
          </w:tcPr>
          <w:p w14:paraId="3EC13358" w14:textId="77777777" w:rsidR="00DB08D5" w:rsidRDefault="00000000">
            <w:r>
              <w:t>2021</w:t>
            </w:r>
          </w:p>
        </w:tc>
        <w:tc>
          <w:tcPr>
            <w:tcW w:w="2880" w:type="dxa"/>
          </w:tcPr>
          <w:p w14:paraId="14DB7A8F" w14:textId="77777777" w:rsidR="00DB08D5" w:rsidRDefault="00000000">
            <w:r>
              <w:t>52%</w:t>
            </w:r>
          </w:p>
        </w:tc>
        <w:tc>
          <w:tcPr>
            <w:tcW w:w="2880" w:type="dxa"/>
          </w:tcPr>
          <w:p w14:paraId="42F96D48" w14:textId="77777777" w:rsidR="00DB08D5" w:rsidRDefault="00000000">
            <w:r>
              <w:t>31%</w:t>
            </w:r>
          </w:p>
        </w:tc>
      </w:tr>
      <w:tr w:rsidR="00DB08D5" w14:paraId="6DAAEF7A" w14:textId="77777777" w:rsidTr="006B7339">
        <w:tc>
          <w:tcPr>
            <w:tcW w:w="2880" w:type="dxa"/>
          </w:tcPr>
          <w:p w14:paraId="02ACBB6D" w14:textId="77777777" w:rsidR="00DB08D5" w:rsidRDefault="00000000">
            <w:r>
              <w:t>2022</w:t>
            </w:r>
          </w:p>
        </w:tc>
        <w:tc>
          <w:tcPr>
            <w:tcW w:w="2880" w:type="dxa"/>
          </w:tcPr>
          <w:p w14:paraId="379EF42E" w14:textId="77777777" w:rsidR="00DB08D5" w:rsidRDefault="00000000">
            <w:r>
              <w:t>58%</w:t>
            </w:r>
          </w:p>
        </w:tc>
        <w:tc>
          <w:tcPr>
            <w:tcW w:w="2880" w:type="dxa"/>
          </w:tcPr>
          <w:p w14:paraId="680A494D" w14:textId="77777777" w:rsidR="00DB08D5" w:rsidRDefault="00000000">
            <w:r>
              <w:t>36%</w:t>
            </w:r>
          </w:p>
        </w:tc>
      </w:tr>
      <w:tr w:rsidR="00DB08D5" w14:paraId="2AB95A3E" w14:textId="77777777" w:rsidTr="006B7339">
        <w:tc>
          <w:tcPr>
            <w:tcW w:w="2880" w:type="dxa"/>
          </w:tcPr>
          <w:p w14:paraId="51B219B9" w14:textId="77777777" w:rsidR="00DB08D5" w:rsidRDefault="00000000">
            <w:r>
              <w:t>2023</w:t>
            </w:r>
          </w:p>
        </w:tc>
        <w:tc>
          <w:tcPr>
            <w:tcW w:w="2880" w:type="dxa"/>
          </w:tcPr>
          <w:p w14:paraId="3891B888" w14:textId="77777777" w:rsidR="00DB08D5" w:rsidRDefault="00000000">
            <w:r>
              <w:t>64%</w:t>
            </w:r>
          </w:p>
        </w:tc>
        <w:tc>
          <w:tcPr>
            <w:tcW w:w="2880" w:type="dxa"/>
          </w:tcPr>
          <w:p w14:paraId="49610994" w14:textId="77777777" w:rsidR="00DB08D5" w:rsidRDefault="00000000">
            <w:r>
              <w:t>41%</w:t>
            </w:r>
          </w:p>
        </w:tc>
      </w:tr>
    </w:tbl>
    <w:p w14:paraId="23C7D072" w14:textId="77777777" w:rsidR="00DB08D5" w:rsidRDefault="00000000">
      <w:r>
        <w:t>Key Insight: Over time, people in road-connected areas felt more secure, while insecurity remained high in regions with poor road infrastructure.</w:t>
      </w:r>
    </w:p>
    <w:p w14:paraId="439469AD" w14:textId="77777777" w:rsidR="00DB08D5" w:rsidRDefault="00000000">
      <w:pPr>
        <w:pStyle w:val="Heading2"/>
      </w:pPr>
      <w:r>
        <w:t>F.6 Statistical Summary of Key Findings</w:t>
      </w:r>
    </w:p>
    <w:p w14:paraId="2FA6D788" w14:textId="77777777" w:rsidR="00DB08D5" w:rsidRDefault="00000000">
      <w:r>
        <w:t>- **Violence Reduction:** Improved road networks correlate with a 40% reduction in violent incidents.</w:t>
      </w:r>
      <w:r>
        <w:br/>
        <w:t>- **Faster Response:** MONUSCO response times were over 3 times faster in areas with developed roads.</w:t>
      </w:r>
      <w:r>
        <w:br/>
        <w:t>- **Humanitarian Aid Reach:** Nearly 90% of the population in road-accessible areas received aid, compared to less than 50% in remote zones.</w:t>
      </w:r>
      <w:r>
        <w:br/>
        <w:t>- **Economic Activity:** Trade and market visits doubled in regions with road improvements.</w:t>
      </w:r>
      <w:r>
        <w:br/>
        <w:t>- **Perception of Security:** Over 60% of residents in road-accessible areas reported feeling safer, compared to only 41% in isolated areas.</w:t>
      </w:r>
      <w:bookmarkEnd w:id="0"/>
    </w:p>
    <w:sectPr w:rsidR="00DB08D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rinda">
    <w:panose1 w:val="00000400000000000000"/>
    <w:charset w:val="00"/>
    <w:family w:val="auto"/>
    <w:pitch w:val="variable"/>
    <w:sig w:usb0="0001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95150748">
    <w:abstractNumId w:val="8"/>
  </w:num>
  <w:num w:numId="2" w16cid:durableId="1257641473">
    <w:abstractNumId w:val="6"/>
  </w:num>
  <w:num w:numId="3" w16cid:durableId="1444033315">
    <w:abstractNumId w:val="5"/>
  </w:num>
  <w:num w:numId="4" w16cid:durableId="1507206640">
    <w:abstractNumId w:val="4"/>
  </w:num>
  <w:num w:numId="5" w16cid:durableId="385838661">
    <w:abstractNumId w:val="7"/>
  </w:num>
  <w:num w:numId="6" w16cid:durableId="1178344601">
    <w:abstractNumId w:val="3"/>
  </w:num>
  <w:num w:numId="7" w16cid:durableId="211232805">
    <w:abstractNumId w:val="2"/>
  </w:num>
  <w:num w:numId="8" w16cid:durableId="921064751">
    <w:abstractNumId w:val="1"/>
  </w:num>
  <w:num w:numId="9" w16cid:durableId="316767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B7339"/>
    <w:rsid w:val="00A864D3"/>
    <w:rsid w:val="00AA1D8D"/>
    <w:rsid w:val="00B47730"/>
    <w:rsid w:val="00CB0664"/>
    <w:rsid w:val="00DB08D5"/>
    <w:rsid w:val="00F218F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6C3B21"/>
  <w14:defaultImageDpi w14:val="300"/>
  <w15:docId w15:val="{545C71D3-013A-4385-A1AF-925A70C7D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379</Words>
  <Characters>2331</Characters>
  <Application>Microsoft Office Word</Application>
  <DocSecurity>0</DocSecurity>
  <Lines>56</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Rufait Nahin</cp:lastModifiedBy>
  <cp:revision>2</cp:revision>
  <dcterms:created xsi:type="dcterms:W3CDTF">2013-12-23T23:15:00Z</dcterms:created>
  <dcterms:modified xsi:type="dcterms:W3CDTF">2025-03-11T01:39:00Z</dcterms:modified>
  <cp:category/>
</cp:coreProperties>
</file>