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2E74B5"/>
          <w:sz w:val="20"/>
        </w:rPr>
        <w:t>企业制度 / 演示数据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50"/>
        </w:rPr>
        <w:t>员工手册与人事制度</w:t>
      </w:r>
    </w:p>
    <w:p>
      <w:pPr>
        <w:spacing w:after="280"/>
      </w:pPr>
      <w:r>
        <w:rPr>
          <w:rFonts w:ascii="Calibri" w:hAnsi="Calibri" w:eastAsia="Microsoft YaHei"/>
          <w:b w:val="0"/>
          <w:color w:val="667085"/>
          <w:sz w:val="24"/>
        </w:rPr>
        <w:t>北辰数科有限公司（虚构企业）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文件编号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BC-HR-001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归口部门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人力资源部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版本/生效日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V1.0 / 2026-07-01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20"/>
              </w:rPr>
              <w:t>资料属性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公开演示｜不得用于真实决策</w:t>
            </w:r>
          </w:p>
        </w:tc>
      </w:tr>
    </w:tbl>
    <w:p/>
    <w:p>
      <w:r>
        <w:rPr>
          <w:rFonts w:ascii="Calibri" w:hAnsi="Calibri" w:eastAsia="Microsoft YaHei"/>
          <w:b/>
          <w:color w:val="9B1C1C"/>
          <w:sz w:val="20"/>
        </w:rPr>
        <w:t>重要说明：本文件中的企业、人员、金额、流程和联系方式均为虚构。</w:t>
      </w:r>
    </w:p>
    <w:p>
      <w:pPr>
        <w:pStyle w:val="Heading1"/>
      </w:pPr>
      <w:r>
        <w:t>1. 入职与试用期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入职材料包括身份证明复印件、银行卡信息、学历证明、紧急联系人信息、保密承诺书和劳动合同。试用期通常为3个月。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转正申请在试用期结束前10个工作日发起。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员工提交总结，直属主管完成考核，人力资源部复核。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考核覆盖工作质量、协作表现、合规意识和岗位胜任度。</w:t>
      </w:r>
    </w:p>
    <w:p>
      <w:pPr>
        <w:pStyle w:val="Heading1"/>
      </w:pPr>
      <w:r>
        <w:t>2. 考勤与请假</w:t>
      </w:r>
    </w:p>
    <w:p>
      <w:r>
        <w:rPr>
          <w:rFonts w:ascii="Calibri" w:hAnsi="Calibri" w:eastAsia="Microsoft YaHei"/>
          <w:b w:val="0"/>
          <w:color w:val="000000"/>
          <w:sz w:val="22"/>
        </w:rPr>
        <w:t>标准工作时间为工作日09:00-18:00，午休12:00-13:00。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3000"/>
        <w:gridCol w:w="266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假期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申请时间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审批</w:t>
            </w:r>
          </w:p>
        </w:tc>
        <w:tc>
          <w:tcPr>
            <w:tcW w:type="dxa" w:w="2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color w:val="000000"/>
                <w:sz w:val="19"/>
              </w:rPr>
              <w:t>材料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事假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提前1日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主管；3天以上加部门负责人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病假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当天10点前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直属主管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连续2天提供证明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年假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提前3日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直属主管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婚假/产假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提前10日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主管+人力资源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法定证明</w:t>
            </w:r>
          </w:p>
        </w:tc>
      </w:tr>
    </w:tbl>
    <w:p>
      <w:r>
        <w:rPr>
          <w:rFonts w:ascii="Calibri" w:hAnsi="Calibri" w:eastAsia="Microsoft YaHei"/>
          <w:b w:val="0"/>
          <w:color w:val="000000"/>
          <w:sz w:val="22"/>
        </w:rPr>
        <w:t>年假：累计工作满1年不满10年为5天，满10年不满20年为10天，满20年为15天。</w:t>
      </w:r>
    </w:p>
    <w:p>
      <w:pPr>
        <w:pStyle w:val="Heading1"/>
      </w:pPr>
      <w:r>
        <w:t>3. 薪酬与绩效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工资每月10日发放，遇节假日原则上提前。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绩效按季度评估，结果分卓越、良好、达标、待改进。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薪资疑问应在到账后5个工作日内提交核对。</w:t>
      </w:r>
    </w:p>
    <w:p>
      <w:pPr>
        <w:pStyle w:val="Heading1"/>
      </w:pPr>
      <w:r>
        <w:t>4. 离职交接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提交书面离职申请。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主管确认工作、客户、文档和账号交接。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IT回收设备并关闭权限，行政回收门禁卡。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000000"/>
          <w:sz w:val="22"/>
        </w:rPr>
        <w:t>财务核对借款，人力资源部出具离职证明。</w:t>
      </w:r>
    </w:p>
    <w:p>
      <w:pPr>
        <w:pStyle w:val="Heading1"/>
      </w:pPr>
      <w:r>
        <w:t>5. 常见问答</w:t>
      </w:r>
    </w:p>
    <w:p>
      <w:r>
        <w:rPr>
          <w:rFonts w:ascii="Calibri" w:hAnsi="Calibri" w:eastAsia="Microsoft YaHei"/>
          <w:b w:val="0"/>
          <w:color w:val="000000"/>
          <w:sz w:val="22"/>
        </w:rPr>
        <w:t>问：员工如何申请转正？答：试用期结束前10个工作日提交转正总结，直属主管考核，人力资源部复核。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6"/>
      </w:rPr>
      <w:t>仅用于知识库功能演示，不代表任何真实企业制度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北辰数科（虚构）｜企业制度演示资料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