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2E74B5"/>
          <w:sz w:val="20"/>
        </w:rPr>
        <w:t>企业制度 / 演示数据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50"/>
        </w:rPr>
        <w:t>财务报销、差旅与借款管理办法</w:t>
      </w:r>
    </w:p>
    <w:p>
      <w:pPr>
        <w:spacing w:after="280"/>
      </w:pPr>
      <w:r>
        <w:rPr>
          <w:rFonts w:ascii="Calibri" w:hAnsi="Calibri" w:eastAsia="Microsoft YaHei"/>
          <w:b w:val="0"/>
          <w:color w:val="667085"/>
          <w:sz w:val="24"/>
        </w:rPr>
        <w:t>北辰数科有限公司（虚构企业）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20"/>
              </w:rPr>
              <w:t>文件编号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BC-FIN-002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20"/>
              </w:rPr>
              <w:t>归口部门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财务部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20"/>
              </w:rPr>
              <w:t>版本/生效日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V1.0 / 2026-07-01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20"/>
              </w:rPr>
              <w:t>资料属性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公开演示｜不得用于真实决策</w:t>
            </w:r>
          </w:p>
        </w:tc>
      </w:tr>
    </w:tbl>
    <w:p/>
    <w:p>
      <w:r>
        <w:rPr>
          <w:rFonts w:ascii="Calibri" w:hAnsi="Calibri" w:eastAsia="Microsoft YaHei"/>
          <w:b/>
          <w:color w:val="9B1C1C"/>
          <w:sz w:val="20"/>
        </w:rPr>
        <w:t>重要说明：本文件中的企业、人员、金额、流程和联系方式均为虚构。</w:t>
      </w:r>
    </w:p>
    <w:p>
      <w:pPr>
        <w:pStyle w:val="Heading1"/>
      </w:pPr>
      <w:r>
        <w:t>1. 报销原则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费用必须真实、合理且与公司业务直接相关。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费用发生后30个自然日内提交合法发票。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不得拆单、虚报或重复报销。</w:t>
      </w:r>
    </w:p>
    <w:p>
      <w:pPr>
        <w:pStyle w:val="Heading1"/>
      </w:pPr>
      <w:r>
        <w:t>2. 差旅标准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420"/>
        <w:gridCol w:w="2420"/>
        <w:gridCol w:w="2420"/>
      </w:tblGrid>
      <w:t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19"/>
              </w:rPr>
              <w:t>城市</w:t>
            </w:r>
          </w:p>
        </w:tc>
        <w:tc>
          <w:tcPr>
            <w:tcW w:type="dxa" w:w="24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19"/>
              </w:rPr>
              <w:t>住宿/晚</w:t>
            </w:r>
          </w:p>
        </w:tc>
        <w:tc>
          <w:tcPr>
            <w:tcW w:type="dxa" w:w="24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19"/>
              </w:rPr>
              <w:t>餐补/天</w:t>
            </w:r>
          </w:p>
        </w:tc>
        <w:tc>
          <w:tcPr>
            <w:tcW w:type="dxa" w:w="24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19"/>
              </w:rPr>
              <w:t>交通/天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一类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600元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120元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100元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二类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450元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100元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80元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其他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350元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80元</w:t>
            </w:r>
          </w:p>
        </w:tc>
        <w:tc>
          <w:tcPr>
            <w:tcW w:type="dxa" w:w="2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60元</w:t>
            </w:r>
          </w:p>
        </w:tc>
      </w:tr>
    </w:tbl>
    <w:p>
      <w:r>
        <w:rPr>
          <w:rFonts w:ascii="Calibri" w:hAnsi="Calibri" w:eastAsia="Microsoft YaHei"/>
          <w:b w:val="0"/>
          <w:color w:val="000000"/>
          <w:sz w:val="22"/>
        </w:rPr>
        <w:t>一类城市为北京、上海、广州、深圳；超标准须事前取得部门和财务负责人批准。</w:t>
      </w:r>
    </w:p>
    <w:p>
      <w:pPr>
        <w:pStyle w:val="Heading1"/>
      </w:pPr>
      <w:r>
        <w:t>3. 报销流程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填写事由、项目、金额和成本中心。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上传发票、支付凭证、行程单和审批记录。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主管确认业务，预算负责人确认预算，财务审核票据。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财务每周二、周五付款，审核通过后通常3个工作日到账。</w:t>
      </w:r>
    </w:p>
    <w:p>
      <w:pPr>
        <w:pStyle w:val="Heading1"/>
      </w:pPr>
      <w:r>
        <w:t>4. 借款与禁止事项</w:t>
      </w:r>
    </w:p>
    <w:p>
      <w:r>
        <w:rPr>
          <w:rFonts w:ascii="Calibri" w:hAnsi="Calibri" w:eastAsia="Microsoft YaHei"/>
          <w:b w:val="0"/>
          <w:color w:val="000000"/>
          <w:sz w:val="22"/>
        </w:rPr>
        <w:t>单笔借款不超过20,000元，由主管和财务负责人审批；超过20,000元增加分管副总经理审批。事项结束后10个工作日内核销。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个人消费、罚款和无业务依据的礼品不报销。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未经批准的超标住宿、舱位升级和娱乐消费不报销。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已由其他渠道承担的费用不得重复报销。</w:t>
      </w:r>
    </w:p>
    <w:p>
      <w:pPr>
        <w:pStyle w:val="Heading1"/>
      </w:pPr>
      <w:r>
        <w:t>5. 常见问答</w:t>
      </w:r>
    </w:p>
    <w:p>
      <w:r>
        <w:rPr>
          <w:rFonts w:ascii="Calibri" w:hAnsi="Calibri" w:eastAsia="Microsoft YaHei"/>
          <w:b w:val="0"/>
          <w:color w:val="000000"/>
          <w:sz w:val="22"/>
        </w:rPr>
        <w:t>问：报销单提交后多久可以到账？答：材料完整且审核通过后，财务在周二或周五付款，通常3个工作日内到账。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6"/>
      </w:rPr>
      <w:t>仅用于知识库功能演示，不代表任何真实企业制度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7085"/>
        <w:sz w:val="18"/>
      </w:rPr>
      <w:t>北辰数科（虚构）｜企业制度演示资料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