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2E74B5"/>
          <w:sz w:val="20"/>
        </w:rPr>
        <w:t>企业制度 / 演示数据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采购、供应商与合同用印管理制度</w:t>
      </w:r>
    </w:p>
    <w:p>
      <w:pPr>
        <w:spacing w:after="280"/>
      </w:pPr>
      <w:r>
        <w:rPr>
          <w:rFonts w:ascii="Calibri" w:hAnsi="Calibri" w:eastAsia="Microsoft YaHei"/>
          <w:b w:val="0"/>
          <w:color w:val="667085"/>
          <w:sz w:val="24"/>
        </w:rPr>
        <w:t>北辰数科有限公司（虚构企业）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文件编号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BC-OPS-003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归口部门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采购与法务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版本/生效日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V1.0 / 2026-07-01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资料属性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公开演示｜不得用于真实决策</w:t>
            </w:r>
          </w:p>
        </w:tc>
      </w:tr>
    </w:tbl>
    <w:p/>
    <w:p>
      <w:r>
        <w:rPr>
          <w:rFonts w:ascii="Calibri" w:hAnsi="Calibri" w:eastAsia="Microsoft YaHei"/>
          <w:b/>
          <w:color w:val="9B1C1C"/>
          <w:sz w:val="20"/>
        </w:rPr>
        <w:t>重要说明：本文件中的企业、人员、金额、流程和联系方式均为虚构。</w:t>
      </w:r>
    </w:p>
    <w:p>
      <w:pPr>
        <w:pStyle w:val="Heading1"/>
      </w:pPr>
      <w:r>
        <w:t>1. 采购分级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金额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方式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审批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5千元以下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比价或目录采购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直属主管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5千-5万元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至少3家询价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部门负责人+采购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5万-20万元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竞争性谈判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采购+财务+分管领导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20万元以上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原则上公开招标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采购委员会</w:t>
            </w:r>
          </w:p>
        </w:tc>
      </w:tr>
    </w:tbl>
    <w:p>
      <w:r>
        <w:rPr>
          <w:rFonts w:ascii="Calibri" w:hAnsi="Calibri" w:eastAsia="Microsoft YaHei"/>
          <w:b w:val="0"/>
          <w:color w:val="000000"/>
          <w:sz w:val="22"/>
        </w:rPr>
        <w:t>不得拆分订单规避审批或招标门槛。</w:t>
      </w:r>
    </w:p>
    <w:p>
      <w:pPr>
        <w:pStyle w:val="Heading1"/>
      </w:pPr>
      <w:r>
        <w:t>2. 供应商准入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提交营业执照、银行账户、产品资质和主要客户。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采购核验履约能力和关联关系。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信息安全类供应商完成安全问卷。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重大失信、商业贿赂或数据泄露记录者不得准入。</w:t>
      </w:r>
    </w:p>
    <w:p>
      <w:pPr>
        <w:pStyle w:val="Heading1"/>
      </w:pPr>
      <w:r>
        <w:t>3. 合同审核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业务审核商业条款，采购审核价格，财务审核付款税务，法务审核责任、保密、知识产权和争议条款；涉及个人信息或系统接入时增加信息安全审核。</w:t>
      </w:r>
    </w:p>
    <w:p>
      <w:pPr>
        <w:pStyle w:val="Heading1"/>
      </w:pPr>
      <w:r>
        <w:t>4. 用印与续签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提交合同正文、审批记录和对方资质。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法务确认版本，印章管理员核对授权和份数。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禁止在空白页或未定稿合同上盖章。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合同责任人在到期前45天收到提醒，提前30天决定续签或终止。</w:t>
      </w:r>
    </w:p>
    <w:p>
      <w:pPr>
        <w:pStyle w:val="Heading1"/>
      </w:pPr>
      <w:r>
        <w:t>5. 常见问答</w:t>
      </w:r>
    </w:p>
    <w:p>
      <w:r>
        <w:rPr>
          <w:rFonts w:ascii="Calibri" w:hAnsi="Calibri" w:eastAsia="Microsoft YaHei"/>
          <w:b w:val="0"/>
          <w:color w:val="000000"/>
          <w:sz w:val="22"/>
        </w:rPr>
        <w:t>问：合同签署前需要哪些部门审核？答：至少包括业务、采购、财务、法务；涉及数据时增加信息安全审核。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6"/>
      </w:rPr>
      <w:t>仅用于知识库功能演示，不代表任何真实企业制度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北辰数科（虚构）｜企业制度演示资料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