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2E74B5"/>
          <w:sz w:val="20"/>
        </w:rPr>
        <w:t>企业制度 / 演示数据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50"/>
        </w:rPr>
        <w:t>IT服务、账号权限与信息安全规范</w:t>
      </w:r>
    </w:p>
    <w:p>
      <w:pPr>
        <w:spacing w:after="280"/>
      </w:pPr>
      <w:r>
        <w:rPr>
          <w:rFonts w:ascii="Calibri" w:hAnsi="Calibri" w:eastAsia="Microsoft YaHei"/>
          <w:b w:val="0"/>
          <w:color w:val="667085"/>
          <w:sz w:val="24"/>
        </w:rPr>
        <w:t>北辰数科有限公司（虚构企业）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000000"/>
                <w:sz w:val="20"/>
              </w:rPr>
              <w:t>文件编号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BC-IT-004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000000"/>
                <w:sz w:val="20"/>
              </w:rPr>
              <w:t>归口部门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信息技术部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000000"/>
                <w:sz w:val="20"/>
              </w:rPr>
              <w:t>版本/生效日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V1.0 / 2026-07-01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000000"/>
                <w:sz w:val="20"/>
              </w:rPr>
              <w:t>资料属性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公开演示｜不得用于真实决策</w:t>
            </w:r>
          </w:p>
        </w:tc>
      </w:tr>
    </w:tbl>
    <w:p/>
    <w:p>
      <w:r>
        <w:rPr>
          <w:rFonts w:ascii="Calibri" w:hAnsi="Calibri" w:eastAsia="Microsoft YaHei"/>
          <w:b/>
          <w:color w:val="9B1C1C"/>
          <w:sz w:val="20"/>
        </w:rPr>
        <w:t>重要说明：本文件中的企业、人员、金额、流程和联系方式均为虚构。</w:t>
      </w:r>
    </w:p>
    <w:p>
      <w:pPr>
        <w:pStyle w:val="Heading1"/>
      </w:pPr>
      <w:r>
        <w:t>1. 账号与权限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账号仅限本人使用，不得借给同事。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密码不少于12位并启用多因素认证。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权限申请填写系统、角色、期限和理由，经主管、系统负责人审批；敏感系统增加数据负责人审批。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临时权限默认30天到期。</w:t>
      </w:r>
    </w:p>
    <w:p>
      <w:pPr>
        <w:pStyle w:val="Heading1"/>
      </w:pPr>
      <w:r>
        <w:t>2. 邮箱与设备</w:t>
      </w:r>
    </w:p>
    <w:p>
      <w:r>
        <w:rPr>
          <w:rFonts w:ascii="Calibri" w:hAnsi="Calibri" w:eastAsia="Microsoft YaHei"/>
          <w:b w:val="0"/>
          <w:color w:val="000000"/>
          <w:sz w:val="22"/>
        </w:rPr>
        <w:t>忘记邮箱密码时通过统一身份平台自助重置；无法验证时联系虚构服务台400-000-2026。电脑故障在服务台提交设备编号、现象、截图和紧急程度。</w:t>
      </w:r>
    </w:p>
    <w:p>
      <w:pPr>
        <w:pStyle w:val="Heading1"/>
      </w:pPr>
      <w:r>
        <w:t>3. 数据分类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00"/>
        <w:gridCol w:w="4160"/>
      </w:tblGrid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000000"/>
                <w:sz w:val="19"/>
              </w:rPr>
              <w:t>级别</w:t>
            </w:r>
          </w:p>
        </w:tc>
        <w:tc>
          <w:tcPr>
            <w:tcW w:type="dxa" w:w="3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000000"/>
                <w:sz w:val="19"/>
              </w:rPr>
              <w:t>示例</w:t>
            </w:r>
          </w:p>
        </w:tc>
        <w:tc>
          <w:tcPr>
            <w:tcW w:type="dxa" w:w="4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000000"/>
                <w:sz w:val="19"/>
              </w:rPr>
              <w:t>要求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公开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官网新闻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可对外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内部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一般制度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公司账号访问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敏感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客户信息、合同价格、源代码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加密、授权、留痕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严格保密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密钥、并购资料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专项授权，禁止外传</w:t>
            </w:r>
          </w:p>
        </w:tc>
      </w:tr>
    </w:tbl>
    <w:p>
      <w:r>
        <w:rPr>
          <w:rFonts w:ascii="Calibri" w:hAnsi="Calibri" w:eastAsia="Microsoft YaHei"/>
          <w:b w:val="0"/>
          <w:color w:val="000000"/>
          <w:sz w:val="22"/>
        </w:rPr>
        <w:t>公司数据不得保存到个人网盘或私人邮箱；客户信息不得通过私人微信发送。</w:t>
      </w:r>
    </w:p>
    <w:p>
      <w:pPr>
        <w:pStyle w:val="Heading1"/>
      </w:pPr>
      <w:r>
        <w:t>4. 钓鱼邮件与故障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不点击可疑链接或附件。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使用“报告钓鱼”按钮保留原邮件。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若已输入密码，立即修改并联系安全团队。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核心系统一级故障在10分钟内上报并建立应急群。</w:t>
      </w:r>
    </w:p>
    <w:p>
      <w:pPr>
        <w:pStyle w:val="Heading1"/>
      </w:pPr>
      <w:r>
        <w:t>5. 常见问答</w:t>
      </w:r>
    </w:p>
    <w:p>
      <w:r>
        <w:rPr>
          <w:rFonts w:ascii="Calibri" w:hAnsi="Calibri" w:eastAsia="Microsoft YaHei"/>
          <w:b w:val="0"/>
          <w:color w:val="000000"/>
          <w:sz w:val="22"/>
        </w:rPr>
        <w:t>问：账号可以借给同事使用吗？答：不可以，所有操作必须可追溯到本人。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6"/>
      </w:rPr>
      <w:t>仅用于知识库功能演示，不代表任何真实企业制度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667085"/>
        <w:sz w:val="18"/>
      </w:rPr>
      <w:t>北辰数科（虚构）｜企业制度演示资料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