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2E74B5"/>
          <w:sz w:val="20"/>
        </w:rPr>
        <w:t>企业制度 / 演示数据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行政服务、客户投诉与应急处置SOP</w:t>
      </w:r>
    </w:p>
    <w:p>
      <w:pPr>
        <w:spacing w:after="280"/>
      </w:pPr>
      <w:r>
        <w:rPr>
          <w:rFonts w:ascii="Calibri" w:hAnsi="Calibri" w:eastAsia="Microsoft YaHei"/>
          <w:b w:val="0"/>
          <w:color w:val="667085"/>
          <w:sz w:val="24"/>
        </w:rPr>
        <w:t>北辰数科有限公司（虚构企业）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文件编号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BC-ADM-005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归口部门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行政与客户成功部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版本/生效日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V1.0 / 2026-07-01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资料属性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公开演示｜不得用于真实决策</w:t>
            </w:r>
          </w:p>
        </w:tc>
      </w:tr>
    </w:tbl>
    <w:p/>
    <w:p>
      <w:r>
        <w:rPr>
          <w:rFonts w:ascii="Calibri" w:hAnsi="Calibri" w:eastAsia="Microsoft YaHei"/>
          <w:b/>
          <w:color w:val="9B1C1C"/>
          <w:sz w:val="20"/>
        </w:rPr>
        <w:t>重要说明：本文件中的企业、人员、金额、流程和联系方式均为虚构。</w:t>
      </w:r>
    </w:p>
    <w:p>
      <w:pPr>
        <w:pStyle w:val="Heading1"/>
      </w:pPr>
      <w:r>
        <w:t>1. 会议室与访客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会议室通过企业日历预约，填写主题、人数和设备需求。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20人以上会议提前2个工作日预约。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访客由邀请人提前登记，前台核验身份证件并发放访客证。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访客必须由员工陪同，不得进入限制区域。</w:t>
      </w:r>
    </w:p>
    <w:p>
      <w:pPr>
        <w:pStyle w:val="Heading1"/>
      </w:pPr>
      <w:r>
        <w:t>2. 办公用品</w:t>
      </w:r>
    </w:p>
    <w:p>
      <w:r>
        <w:rPr>
          <w:rFonts w:ascii="Calibri" w:hAnsi="Calibri" w:eastAsia="Microsoft YaHei"/>
          <w:b w:val="0"/>
          <w:color w:val="000000"/>
          <w:sz w:val="22"/>
        </w:rPr>
        <w:t>常用办公用品每周一、周四集中发放。单件超过500元或批量超过2,000元需部门负责人审批。</w:t>
      </w:r>
    </w:p>
    <w:p>
      <w:pPr>
        <w:pStyle w:val="Heading1"/>
      </w:pPr>
      <w:r>
        <w:t>3. 客户投诉流程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记录客户、产品、问题、期望和证据。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涉及重大损失或舆情的一级投诉15分钟内升级。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责任部门1个工作日内给出事实和建议。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一般投诉2个工作日内首次回复。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关闭时记录根因和改进措施。</w:t>
      </w:r>
    </w:p>
    <w:p>
      <w:pPr>
        <w:pStyle w:val="Heading1"/>
      </w:pPr>
      <w:r>
        <w:t>4. 合规与应急</w:t>
      </w:r>
    </w:p>
    <w:p>
      <w:r>
        <w:rPr>
          <w:rFonts w:ascii="Calibri" w:hAnsi="Calibri" w:eastAsia="Microsoft YaHei"/>
          <w:b w:val="0"/>
          <w:color w:val="000000"/>
          <w:sz w:val="22"/>
        </w:rPr>
        <w:t>员工发现本人或近亲属与供应商、客户存在重大经济关系，应在3个工作日内向主管和虚构合规邮箱报告。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事项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渠道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响应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IT一级故障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400-000-2026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10分钟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安全事件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security-demo@beichen.example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15分钟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一级投诉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客户成功值班群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15分钟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办公安全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前台8001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立即</w:t>
            </w:r>
          </w:p>
        </w:tc>
      </w:tr>
    </w:tbl>
    <w:p>
      <w:pPr>
        <w:pStyle w:val="Heading1"/>
      </w:pPr>
      <w:r>
        <w:t>5. 常见问答</w:t>
      </w:r>
    </w:p>
    <w:p>
      <w:r>
        <w:rPr>
          <w:rFonts w:ascii="Calibri" w:hAnsi="Calibri" w:eastAsia="Microsoft YaHei"/>
          <w:b w:val="0"/>
          <w:color w:val="000000"/>
          <w:sz w:val="22"/>
        </w:rPr>
        <w:t>问：会议室如何预约？答：在企业日历选择空闲会议室，填写主题、人数和设备需求；大型会议提前2个工作日。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6"/>
      </w:rPr>
      <w:t>仅用于知识库功能演示，不代表任何真实企业制度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北辰数科（虚构）｜企业制度演示资料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