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Microsoft YaHei" w:hAnsi="Microsoft YaHei" w:eastAsia="Microsoft YaHei"/>
          <w:b/>
          <w:color w:val="0B2545"/>
          <w:sz w:val="44"/>
        </w:rPr>
        <w:t>客户服务工单与SLA管理规范</w:t>
      </w:r>
    </w:p>
    <w:p>
      <w:pPr>
        <w:spacing w:after="280"/>
      </w:pPr>
      <w:r>
        <w:rPr>
          <w:color w:val="6B7280"/>
          <w:sz w:val="20"/>
        </w:rPr>
        <w:t>企业制度演示文件 | 用于多模态知识库检索与问答评测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15"/>
            <w:shd w:fill="E8EEF5"/>
            <w:vAlign w:val="center"/>
          </w:tcPr>
          <w:p>
            <w:r>
              <w:t>文件编号</w:t>
            </w:r>
          </w:p>
        </w:tc>
        <w:tc>
          <w:tcPr>
            <w:tcW w:type="dxa" w:w="7343"/>
            <w:vAlign w:val="center"/>
          </w:tcPr>
          <w:p>
            <w:r>
              <w:t>BC-CS-009</w:t>
            </w:r>
          </w:p>
        </w:tc>
      </w:tr>
      <w:tr>
        <w:tc>
          <w:tcPr>
            <w:tcW w:type="dxa" w:w="2015"/>
            <w:shd w:fill="E8EEF5"/>
            <w:vAlign w:val="center"/>
          </w:tcPr>
          <w:p>
            <w:r>
              <w:t>归口部门</w:t>
            </w:r>
          </w:p>
        </w:tc>
        <w:tc>
          <w:tcPr>
            <w:tcW w:type="dxa" w:w="7343"/>
            <w:vAlign w:val="center"/>
          </w:tcPr>
          <w:p>
            <w:r>
              <w:t>客户成功部 / 服务台</w:t>
            </w:r>
          </w:p>
        </w:tc>
      </w:tr>
      <w:tr>
        <w:tc>
          <w:tcPr>
            <w:tcW w:type="dxa" w:w="2015"/>
            <w:shd w:fill="E8EEF5"/>
            <w:vAlign w:val="center"/>
          </w:tcPr>
          <w:p>
            <w:r>
              <w:t>版本</w:t>
            </w:r>
          </w:p>
        </w:tc>
        <w:tc>
          <w:tcPr>
            <w:tcW w:type="dxa" w:w="7343"/>
            <w:vAlign w:val="center"/>
          </w:tcPr>
          <w:p>
            <w:r>
              <w:t>V1.0 / 2026-07-14</w:t>
            </w:r>
          </w:p>
        </w:tc>
      </w:tr>
      <w:tr>
        <w:tc>
          <w:tcPr>
            <w:tcW w:type="dxa" w:w="2015"/>
            <w:shd w:fill="E8EEF5"/>
            <w:vAlign w:val="center"/>
          </w:tcPr>
          <w:p>
            <w:r>
              <w:t>资料属性</w:t>
            </w:r>
          </w:p>
        </w:tc>
        <w:tc>
          <w:tcPr>
            <w:tcW w:type="dxa" w:w="7343"/>
            <w:vAlign w:val="center"/>
          </w:tcPr>
          <w:p>
            <w:r>
              <w:t>完全虚构，仅用于功能演示和技术测试</w:t>
            </w:r>
          </w:p>
        </w:tc>
      </w:tr>
    </w:tbl>
    <w:p/>
    <w:p>
      <w:pPr>
        <w:pStyle w:val="Heading1"/>
      </w:pPr>
      <w:r>
        <w:t>1. 适用范围与术语</w:t>
      </w:r>
    </w:p>
    <w:p>
      <w:r>
        <w:t>本规范适用于客户通过服务热线、服务台、在线客服或客户经理提交的咨询、故障、投诉和需求。服务请求、支持单、报障单与工单在本制度中均指进入统一服务台系统的记录。</w:t>
      </w:r>
    </w:p>
    <w:p>
      <w:r>
        <w:t>工单优先级由影响范围和紧急程度共同确定，不得仅根据客户职位或催促次数调整。</w:t>
      </w:r>
    </w:p>
    <w:p>
      <w:pPr>
        <w:pStyle w:val="Heading1"/>
      </w:pPr>
      <w:r>
        <w:t>2. 优先级与响应时限</w:t>
      </w:r>
    </w:p>
    <w:p>
      <w:r>
        <w:t>P1表示核心业务完全中断且无替代方案；P2表示主要功能受损但存在临时方案；P3表示一般功能问题；P4表示咨询、建议和非紧急需求。</w:t>
      </w:r>
    </w:p>
    <w:p>
      <w:r>
        <w:t>P1事件必须在15分钟内首次响应、2小时内提供恢复方案，每30分钟同步一次进展。P2在1小时内响应、8小时内处理。P3在4个工作小时内响应、3个工作日内处理。P4在1个工作日内响应。</w:t>
      </w:r>
    </w:p>
    <w:p>
      <w:pPr>
        <w:pStyle w:val="Heading1"/>
      </w:pPr>
      <w:r>
        <w:t>3. 升级与关闭</w:t>
      </w:r>
    </w:p>
    <w:p>
      <w:r>
        <w:t>P1工单创建后立即通知值班经理和技术负责人；30分钟仍未定位原因时升级至应急指挥群。P2超过承诺处理时间的80%仍未解决时自动升级。</w:t>
      </w:r>
    </w:p>
    <w:p>
      <w:r>
        <w:t>关闭工单前必须记录原因、解决方案、影响范围和验证人。客户连续3个工作日未回复，可标记为待客户确认，但不得直接删除。</w:t>
      </w:r>
    </w:p>
    <w:p>
      <w:pPr>
        <w:pStyle w:val="Heading1"/>
      </w:pPr>
      <w:r>
        <w:t>4. 常见问答</w:t>
      </w:r>
    </w:p>
    <w:p>
      <w:r>
        <w:t>问：办公电脑损坏是否走客户工单？答：内部员工IT报修不适用本规范，应提交内部IT服务单。</w:t>
      </w:r>
    </w:p>
    <w:p>
      <w:r>
        <w:t>问：客户投诉就是P1吗？答：不是。投诉按实际业务影响定级，重大舆情风险可由客户成功负责人申请提级。</w:t>
      </w:r>
    </w:p>
    <w:p>
      <w:pPr>
        <w:pStyle w:val="Heading2"/>
      </w:pPr>
      <w:r>
        <w:t>SLA速查表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vAlign w:val="center"/>
          </w:tcPr>
          <w:p>
            <w:r>
              <w:rPr>
                <w:b/>
              </w:rPr>
              <w:t>级别</w:t>
            </w:r>
          </w:p>
        </w:tc>
        <w:tc>
          <w:tcPr>
            <w:tcW w:type="dxa" w:w="2340"/>
            <w:shd w:fill="E8EEF5"/>
            <w:vAlign w:val="center"/>
          </w:tcPr>
          <w:p>
            <w:r>
              <w:rPr>
                <w:b/>
              </w:rPr>
              <w:t>首次响应</w:t>
            </w:r>
          </w:p>
        </w:tc>
        <w:tc>
          <w:tcPr>
            <w:tcW w:type="dxa" w:w="2340"/>
            <w:shd w:fill="E8EEF5"/>
            <w:vAlign w:val="center"/>
          </w:tcPr>
          <w:p>
            <w:r>
              <w:rPr>
                <w:b/>
              </w:rPr>
              <w:t>目标处理</w:t>
            </w:r>
          </w:p>
        </w:tc>
        <w:tc>
          <w:tcPr>
            <w:tcW w:type="dxa" w:w="2340"/>
            <w:shd w:fill="E8EEF5"/>
            <w:vAlign w:val="center"/>
          </w:tcPr>
          <w:p>
            <w:r>
              <w:rPr>
                <w:b/>
              </w:rPr>
              <w:t>升级条件</w:t>
            </w:r>
          </w:p>
        </w:tc>
      </w:tr>
      <w:tr>
        <w:tc>
          <w:tcPr>
            <w:tcW w:type="dxa" w:w="2340"/>
            <w:vAlign w:val="center"/>
          </w:tcPr>
          <w:p>
            <w:r>
              <w:t>P1</w:t>
            </w:r>
          </w:p>
        </w:tc>
        <w:tc>
          <w:tcPr>
            <w:tcW w:type="dxa" w:w="2340"/>
            <w:vAlign w:val="center"/>
          </w:tcPr>
          <w:p>
            <w:r>
              <w:t>15分钟</w:t>
            </w:r>
          </w:p>
        </w:tc>
        <w:tc>
          <w:tcPr>
            <w:tcW w:type="dxa" w:w="2340"/>
            <w:vAlign w:val="center"/>
          </w:tcPr>
          <w:p>
            <w:r>
              <w:t>2小时恢复方案</w:t>
            </w:r>
          </w:p>
        </w:tc>
        <w:tc>
          <w:tcPr>
            <w:tcW w:type="dxa" w:w="2340"/>
            <w:vAlign w:val="center"/>
          </w:tcPr>
          <w:p>
            <w:r>
              <w:t>立即通知值班经理</w:t>
            </w:r>
          </w:p>
        </w:tc>
      </w:tr>
      <w:tr>
        <w:tc>
          <w:tcPr>
            <w:tcW w:type="dxa" w:w="2340"/>
            <w:vAlign w:val="center"/>
          </w:tcPr>
          <w:p>
            <w:r>
              <w:t>P2</w:t>
            </w:r>
          </w:p>
        </w:tc>
        <w:tc>
          <w:tcPr>
            <w:tcW w:type="dxa" w:w="2340"/>
            <w:vAlign w:val="center"/>
          </w:tcPr>
          <w:p>
            <w:r>
              <w:t>1小时</w:t>
            </w:r>
          </w:p>
        </w:tc>
        <w:tc>
          <w:tcPr>
            <w:tcW w:type="dxa" w:w="2340"/>
            <w:vAlign w:val="center"/>
          </w:tcPr>
          <w:p>
            <w:r>
              <w:t>8小时</w:t>
            </w:r>
          </w:p>
        </w:tc>
        <w:tc>
          <w:tcPr>
            <w:tcW w:type="dxa" w:w="2340"/>
            <w:vAlign w:val="center"/>
          </w:tcPr>
          <w:p>
            <w:r>
              <w:t>耗时达到目标的80%</w:t>
            </w:r>
          </w:p>
        </w:tc>
      </w:tr>
      <w:tr>
        <w:tc>
          <w:tcPr>
            <w:tcW w:type="dxa" w:w="2340"/>
            <w:vAlign w:val="center"/>
          </w:tcPr>
          <w:p>
            <w:r>
              <w:t>P3</w:t>
            </w:r>
          </w:p>
        </w:tc>
        <w:tc>
          <w:tcPr>
            <w:tcW w:type="dxa" w:w="2340"/>
            <w:vAlign w:val="center"/>
          </w:tcPr>
          <w:p>
            <w:r>
              <w:t>4个工作小时</w:t>
            </w:r>
          </w:p>
        </w:tc>
        <w:tc>
          <w:tcPr>
            <w:tcW w:type="dxa" w:w="2340"/>
            <w:vAlign w:val="center"/>
          </w:tcPr>
          <w:p>
            <w:r>
              <w:t>3个工作日</w:t>
            </w:r>
          </w:p>
        </w:tc>
        <w:tc>
          <w:tcPr>
            <w:tcW w:type="dxa" w:w="2340"/>
            <w:vAlign w:val="center"/>
          </w:tcPr>
          <w:p>
            <w:r>
              <w:t>逾期自动升级</w:t>
            </w:r>
          </w:p>
        </w:tc>
      </w:tr>
      <w:tr>
        <w:tc>
          <w:tcPr>
            <w:tcW w:type="dxa" w:w="2340"/>
            <w:vAlign w:val="center"/>
          </w:tcPr>
          <w:p>
            <w:r>
              <w:t>P4</w:t>
            </w:r>
          </w:p>
        </w:tc>
        <w:tc>
          <w:tcPr>
            <w:tcW w:type="dxa" w:w="2340"/>
            <w:vAlign w:val="center"/>
          </w:tcPr>
          <w:p>
            <w:r>
              <w:t>1个工作日</w:t>
            </w:r>
          </w:p>
        </w:tc>
        <w:tc>
          <w:tcPr>
            <w:tcW w:type="dxa" w:w="2340"/>
            <w:vAlign w:val="center"/>
          </w:tcPr>
          <w:p>
            <w:r>
              <w:t>排期确认</w:t>
            </w:r>
          </w:p>
        </w:tc>
        <w:tc>
          <w:tcPr>
            <w:tcW w:type="dxa" w:w="2340"/>
            <w:vAlign w:val="center"/>
          </w:tcPr>
          <w:p>
            <w:r>
              <w:t>客户成功经理协调</w:t>
            </w:r>
          </w:p>
        </w:tc>
      </w:tr>
    </w:tbl>
    <w:p>
      <w:pPr>
        <w:pStyle w:val="Heading1"/>
      </w:pPr>
      <w:r>
        <w:t>使用说明</w:t>
      </w:r>
    </w:p>
    <w:p>
      <w:r>
        <w:t>本文件中的公司、流程、人员、金额和时限均为虚构。请勿用于真实经营、合规或人事决策。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7"/>
      </w:rPr>
      <w:t>BC-CS-009 | 虚构演示数据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6B7280"/>
        <w:sz w:val="17"/>
      </w:rPr>
      <w:t>北辰数科企业知识库 | 虚构召回测试数据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