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B2545"/>
          <w:sz w:val="44"/>
        </w:rPr>
        <w:t>项目立项、变更与验收管理办法</w:t>
      </w:r>
    </w:p>
    <w:p>
      <w:pPr>
        <w:spacing w:after="280"/>
      </w:pPr>
      <w:r>
        <w:rPr>
          <w:color w:val="6B7280"/>
          <w:sz w:val="20"/>
        </w:rPr>
        <w:t>企业制度演示文件 | 用于多模态知识库检索与问答评测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5"/>
            <w:shd w:fill="E8EEF5"/>
            <w:vAlign w:val="center"/>
          </w:tcPr>
          <w:p>
            <w:r>
              <w:t>文件编号</w:t>
            </w:r>
          </w:p>
        </w:tc>
        <w:tc>
          <w:tcPr>
            <w:tcW w:type="dxa" w:w="7343"/>
            <w:vAlign w:val="center"/>
          </w:tcPr>
          <w:p>
            <w:r>
              <w:t>BC-PMO-010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归口部门</w:t>
            </w:r>
          </w:p>
        </w:tc>
        <w:tc>
          <w:tcPr>
            <w:tcW w:type="dxa" w:w="7343"/>
            <w:vAlign w:val="center"/>
          </w:tcPr>
          <w:p>
            <w:r>
              <w:t>项目管理办公室（PMO）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版本</w:t>
            </w:r>
          </w:p>
        </w:tc>
        <w:tc>
          <w:tcPr>
            <w:tcW w:type="dxa" w:w="7343"/>
            <w:vAlign w:val="center"/>
          </w:tcPr>
          <w:p>
            <w:r>
              <w:t>V1.0 / 2026-07-14</w:t>
            </w:r>
          </w:p>
        </w:tc>
      </w:tr>
      <w:tr>
        <w:tc>
          <w:tcPr>
            <w:tcW w:type="dxa" w:w="2015"/>
            <w:shd w:fill="E8EEF5"/>
            <w:vAlign w:val="center"/>
          </w:tcPr>
          <w:p>
            <w:r>
              <w:t>资料属性</w:t>
            </w:r>
          </w:p>
        </w:tc>
        <w:tc>
          <w:tcPr>
            <w:tcW w:type="dxa" w:w="7343"/>
            <w:vAlign w:val="center"/>
          </w:tcPr>
          <w:p>
            <w:r>
              <w:t>完全虚构，仅用于功能演示和技术测试</w:t>
            </w:r>
          </w:p>
        </w:tc>
      </w:tr>
    </w:tbl>
    <w:p/>
    <w:p>
      <w:pPr>
        <w:pStyle w:val="Heading1"/>
      </w:pPr>
      <w:r>
        <w:t>1. 项目立项</w:t>
      </w:r>
    </w:p>
    <w:p>
      <w:r>
        <w:t>预计投入超过20人日、跨两个及以上部门或涉及客户交付的工作必须立项。项目申请人提交目标、范围、预算、里程碑、风险和资源计划。</w:t>
      </w:r>
    </w:p>
    <w:p>
      <w:r>
        <w:t>立项评审由业务负责人、交付负责人、财务和信息安全按项目性质参加。未经立项编号不得采购项目专用资源。</w:t>
      </w:r>
    </w:p>
    <w:p>
      <w:pPr>
        <w:pStyle w:val="Heading1"/>
      </w:pPr>
      <w:r>
        <w:t>2. 范围与变更控制</w:t>
      </w:r>
    </w:p>
    <w:p>
      <w:r>
        <w:t>需求调整、范围漂移、追加功能和里程碑改变统称项目变更。变更申请必须说明原因、影响、成本、工期和回退方案。</w:t>
      </w:r>
    </w:p>
    <w:p>
      <w:r>
        <w:t>工期变化不超过5个工作日且预算变化不超过5%的轻微变更由项目经理和业务负责人批准；超出任一阈值的重大变更提交项目委员会。</w:t>
      </w:r>
    </w:p>
    <w:p>
      <w:pPr>
        <w:pStyle w:val="Heading1"/>
      </w:pPr>
      <w:r>
        <w:t>3. 风险与升级</w:t>
      </w:r>
    </w:p>
    <w:p>
      <w:r>
        <w:t>红色风险是可能导致关键里程碑延期超过10个工作日、预算超支超过10%或发生重大合规影响的风险，必须在发现后4小时内上报PMO。</w:t>
      </w:r>
    </w:p>
    <w:p>
      <w:r>
        <w:t>连续两周处于黄色状态的风险自动转为红色风险，不得通过拆分风险项规避升级。</w:t>
      </w:r>
    </w:p>
    <w:p>
      <w:pPr>
        <w:pStyle w:val="Heading1"/>
      </w:pPr>
      <w:r>
        <w:t>4. 验收和复盘</w:t>
      </w:r>
    </w:p>
    <w:p>
      <w:r>
        <w:t>验收材料包括需求追踪矩阵、测试报告、用户确认、交付清单、运维手册和遗留问题。遗留问题不影响核心目标且有明确责任人和关闭日期时，可有条件验收。</w:t>
      </w:r>
    </w:p>
    <w:p>
      <w:r>
        <w:t>项目关闭后10个工作日内完成复盘，沉淀经验、偏差原因和后续行动。</w:t>
      </w:r>
    </w:p>
    <w:p>
      <w:pPr>
        <w:pStyle w:val="Heading2"/>
      </w:pPr>
      <w:r>
        <w:t>变更审批矩阵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变更类型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工期影响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预算影响</w:t>
            </w:r>
          </w:p>
        </w:tc>
        <w:tc>
          <w:tcPr>
            <w:tcW w:type="dxa" w:w="2340"/>
            <w:shd w:fill="E8EEF5"/>
            <w:vAlign w:val="center"/>
          </w:tcPr>
          <w:p>
            <w:r>
              <w:rPr>
                <w:b/>
              </w:rPr>
              <w:t>审批人</w:t>
            </w:r>
          </w:p>
        </w:tc>
      </w:tr>
      <w:tr>
        <w:tc>
          <w:tcPr>
            <w:tcW w:type="dxa" w:w="2340"/>
            <w:vAlign w:val="center"/>
          </w:tcPr>
          <w:p>
            <w:r>
              <w:t>轻微变更</w:t>
            </w:r>
          </w:p>
        </w:tc>
        <w:tc>
          <w:tcPr>
            <w:tcW w:type="dxa" w:w="2340"/>
            <w:vAlign w:val="center"/>
          </w:tcPr>
          <w:p>
            <w:r>
              <w:t>不超过5个工作日</w:t>
            </w:r>
          </w:p>
        </w:tc>
        <w:tc>
          <w:tcPr>
            <w:tcW w:type="dxa" w:w="2340"/>
            <w:vAlign w:val="center"/>
          </w:tcPr>
          <w:p>
            <w:r>
              <w:t>不超过5%</w:t>
            </w:r>
          </w:p>
        </w:tc>
        <w:tc>
          <w:tcPr>
            <w:tcW w:type="dxa" w:w="2340"/>
            <w:vAlign w:val="center"/>
          </w:tcPr>
          <w:p>
            <w:r>
              <w:t>项目经理 + 业务负责人</w:t>
            </w:r>
          </w:p>
        </w:tc>
      </w:tr>
      <w:tr>
        <w:tc>
          <w:tcPr>
            <w:tcW w:type="dxa" w:w="2340"/>
            <w:vAlign w:val="center"/>
          </w:tcPr>
          <w:p>
            <w:r>
              <w:t>重大变更</w:t>
            </w:r>
          </w:p>
        </w:tc>
        <w:tc>
          <w:tcPr>
            <w:tcW w:type="dxa" w:w="2340"/>
            <w:vAlign w:val="center"/>
          </w:tcPr>
          <w:p>
            <w:r>
              <w:t>超过5个工作日</w:t>
            </w:r>
          </w:p>
        </w:tc>
        <w:tc>
          <w:tcPr>
            <w:tcW w:type="dxa" w:w="2340"/>
            <w:vAlign w:val="center"/>
          </w:tcPr>
          <w:p>
            <w:r>
              <w:t>或超过5%</w:t>
            </w:r>
          </w:p>
        </w:tc>
        <w:tc>
          <w:tcPr>
            <w:tcW w:type="dxa" w:w="2340"/>
            <w:vAlign w:val="center"/>
          </w:tcPr>
          <w:p>
            <w:r>
              <w:t>项目委员会</w:t>
            </w:r>
          </w:p>
        </w:tc>
      </w:tr>
      <w:tr>
        <w:tc>
          <w:tcPr>
            <w:tcW w:type="dxa" w:w="2340"/>
            <w:vAlign w:val="center"/>
          </w:tcPr>
          <w:p>
            <w:r>
              <w:t>紧急变更</w:t>
            </w:r>
          </w:p>
        </w:tc>
        <w:tc>
          <w:tcPr>
            <w:tcW w:type="dxa" w:w="2340"/>
            <w:vAlign w:val="center"/>
          </w:tcPr>
          <w:p>
            <w:r>
              <w:t>生产故障处置</w:t>
            </w:r>
          </w:p>
        </w:tc>
        <w:tc>
          <w:tcPr>
            <w:tcW w:type="dxa" w:w="2340"/>
            <w:vAlign w:val="center"/>
          </w:tcPr>
          <w:p>
            <w:r>
              <w:t>事后核算</w:t>
            </w:r>
          </w:p>
        </w:tc>
        <w:tc>
          <w:tcPr>
            <w:tcW w:type="dxa" w:w="2340"/>
            <w:vAlign w:val="center"/>
          </w:tcPr>
          <w:p>
            <w:r>
              <w:t>应急负责人，24小时内补单</w:t>
            </w:r>
          </w:p>
        </w:tc>
      </w:tr>
    </w:tbl>
    <w:p>
      <w:pPr>
        <w:pStyle w:val="Heading1"/>
      </w:pPr>
      <w:r>
        <w:t>使用说明</w:t>
      </w:r>
    </w:p>
    <w:p>
      <w:r>
        <w:t>本文件中的公司、流程、人员、金额和时限均为虚构。请勿用于真实经营、合规或人事决策。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7"/>
      </w:rPr>
      <w:t>BC-PMO-010 | 虚构演示数据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B7280"/>
        <w:sz w:val="17"/>
      </w:rPr>
      <w:t>北辰数科企业知识库 | 虚构召回测试数据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