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数据分类分级与个人信息保护规范</w:t>
      </w:r>
    </w:p>
    <w:p>
      <w:pPr>
        <w:spacing w:after="280"/>
      </w:pPr>
      <w:r>
        <w:rPr>
          <w:color w:val="6B7280"/>
          <w:sz w:val="20"/>
        </w:rPr>
        <w:t>企业制度演示文件 | 用于多模态知识库检索与问答评测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E8EEF5"/>
            <w:vAlign w:val="center"/>
          </w:tcPr>
          <w:p>
            <w:r>
              <w:t>文件编号</w:t>
            </w:r>
          </w:p>
        </w:tc>
        <w:tc>
          <w:tcPr>
            <w:tcW w:type="dxa" w:w="7343"/>
            <w:vAlign w:val="center"/>
          </w:tcPr>
          <w:p>
            <w:r>
              <w:t>BC-DATA-011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归口部门</w:t>
            </w:r>
          </w:p>
        </w:tc>
        <w:tc>
          <w:tcPr>
            <w:tcW w:type="dxa" w:w="7343"/>
            <w:vAlign w:val="center"/>
          </w:tcPr>
          <w:p>
            <w:r>
              <w:t>数据治理委员会 / 信息安全部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版本</w:t>
            </w:r>
          </w:p>
        </w:tc>
        <w:tc>
          <w:tcPr>
            <w:tcW w:type="dxa" w:w="7343"/>
            <w:vAlign w:val="center"/>
          </w:tcPr>
          <w:p>
            <w:r>
              <w:t>V1.0 / 2026-07-14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资料属性</w:t>
            </w:r>
          </w:p>
        </w:tc>
        <w:tc>
          <w:tcPr>
            <w:tcW w:type="dxa" w:w="7343"/>
            <w:vAlign w:val="center"/>
          </w:tcPr>
          <w:p>
            <w:r>
              <w:t>完全虚构，仅用于功能演示和技术测试</w:t>
            </w:r>
          </w:p>
        </w:tc>
      </w:tr>
    </w:tbl>
    <w:p/>
    <w:p>
      <w:pPr>
        <w:pStyle w:val="Heading1"/>
      </w:pPr>
      <w:r>
        <w:t>1. 数据级别</w:t>
      </w:r>
    </w:p>
    <w:p>
      <w:r>
        <w:t>数据分为公开、内部、敏感和核心四级。公开数据可对外发布；内部数据仅限员工履职使用；敏感数据泄露可能损害客户或公司权益；核心数据泄露可能造成重大经营或合规影响。</w:t>
      </w:r>
    </w:p>
    <w:p>
      <w:r>
        <w:t>身份证号、银行卡号、精确定位、健康信息和生物识别信息属于敏感个人信息。客户名单并非一律为核心数据，应结合字段内容、规模和业务影响定级。</w:t>
      </w:r>
    </w:p>
    <w:p>
      <w:pPr>
        <w:pStyle w:val="Heading1"/>
      </w:pPr>
      <w:r>
        <w:t>2. 收集与使用</w:t>
      </w:r>
    </w:p>
    <w:p>
      <w:r>
        <w:t>处理个人信息必须具有明确、合理的业务目的，并遵循最小必要原则。不得以方便分析为由收集与目的无关的字段。</w:t>
      </w:r>
    </w:p>
    <w:p>
      <w:r>
        <w:t>将个人信息用于原授权目的之外的新场景前，应重新评估合法性基础；需要单独同意的，应在处理前取得。</w:t>
      </w:r>
    </w:p>
    <w:p>
      <w:pPr>
        <w:pStyle w:val="Heading1"/>
      </w:pPr>
      <w:r>
        <w:t>3. 传输、共享与脱敏</w:t>
      </w:r>
    </w:p>
    <w:p>
      <w:r>
        <w:t>敏感及以上数据通过公司批准的加密通道传输，不得发送至个人邮箱、私人网盘或未经批准的即时通信工具。</w:t>
      </w:r>
    </w:p>
    <w:p>
      <w:r>
        <w:t>向外部供应商共享数据前须完成供应商安全评估、数据处理协议和字段最小化。测试环境原则上使用脱敏或合成数据。</w:t>
      </w:r>
    </w:p>
    <w:p>
      <w:pPr>
        <w:pStyle w:val="Heading1"/>
      </w:pPr>
      <w:r>
        <w:t>4. 保存与删除</w:t>
      </w:r>
    </w:p>
    <w:p>
      <w:r>
        <w:t>个人信息保存期限以实现处理目的所需的最短时间为准。客户服务录音默认保存180天；合同与财务凭证按法定期限保存。</w:t>
      </w:r>
    </w:p>
    <w:p>
      <w:r>
        <w:t>达到保存期限后应删除或匿名化。匿名化要求无法识别个人且不能合理复原，简单遮盖部分号码属于去标识化而非匿名化。</w:t>
      </w:r>
    </w:p>
    <w:p>
      <w:pPr>
        <w:pStyle w:val="Heading2"/>
      </w:pPr>
      <w:r>
        <w:t>数据处理控制矩阵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传输要求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外发审批</w:t>
            </w:r>
          </w:p>
        </w:tc>
      </w:tr>
      <w:tr>
        <w:tc>
          <w:tcPr>
            <w:tcW w:type="dxa" w:w="2340"/>
            <w:vAlign w:val="center"/>
          </w:tcPr>
          <w:p>
            <w:r>
              <w:t>公开</w:t>
            </w:r>
          </w:p>
        </w:tc>
        <w:tc>
          <w:tcPr>
            <w:tcW w:type="dxa" w:w="2340"/>
            <w:vAlign w:val="center"/>
          </w:tcPr>
          <w:p>
            <w:r>
              <w:t>官网新闻</w:t>
            </w:r>
          </w:p>
        </w:tc>
        <w:tc>
          <w:tcPr>
            <w:tcW w:type="dxa" w:w="2340"/>
            <w:vAlign w:val="center"/>
          </w:tcPr>
          <w:p>
            <w:r>
              <w:t>普通通道</w:t>
            </w:r>
          </w:p>
        </w:tc>
        <w:tc>
          <w:tcPr>
            <w:tcW w:type="dxa" w:w="2340"/>
            <w:vAlign w:val="center"/>
          </w:tcPr>
          <w:p>
            <w:r>
              <w:t>内容负责人</w:t>
            </w:r>
          </w:p>
        </w:tc>
      </w:tr>
      <w:tr>
        <w:tc>
          <w:tcPr>
            <w:tcW w:type="dxa" w:w="2340"/>
            <w:vAlign w:val="center"/>
          </w:tcPr>
          <w:p>
            <w:r>
              <w:t>内部</w:t>
            </w:r>
          </w:p>
        </w:tc>
        <w:tc>
          <w:tcPr>
            <w:tcW w:type="dxa" w:w="2340"/>
            <w:vAlign w:val="center"/>
          </w:tcPr>
          <w:p>
            <w:r>
              <w:t>一般流程文档</w:t>
            </w:r>
          </w:p>
        </w:tc>
        <w:tc>
          <w:tcPr>
            <w:tcW w:type="dxa" w:w="2340"/>
            <w:vAlign w:val="center"/>
          </w:tcPr>
          <w:p>
            <w:r>
              <w:t>公司账号</w:t>
            </w:r>
          </w:p>
        </w:tc>
        <w:tc>
          <w:tcPr>
            <w:tcW w:type="dxa" w:w="2340"/>
            <w:vAlign w:val="center"/>
          </w:tcPr>
          <w:p>
            <w:r>
              <w:t>部门负责人</w:t>
            </w:r>
          </w:p>
        </w:tc>
      </w:tr>
      <w:tr>
        <w:tc>
          <w:tcPr>
            <w:tcW w:type="dxa" w:w="2340"/>
            <w:vAlign w:val="center"/>
          </w:tcPr>
          <w:p>
            <w:r>
              <w:t>敏感</w:t>
            </w:r>
          </w:p>
        </w:tc>
        <w:tc>
          <w:tcPr>
            <w:tcW w:type="dxa" w:w="2340"/>
            <w:vAlign w:val="center"/>
          </w:tcPr>
          <w:p>
            <w:r>
              <w:t>身份证号、客户联系方式</w:t>
            </w:r>
          </w:p>
        </w:tc>
        <w:tc>
          <w:tcPr>
            <w:tcW w:type="dxa" w:w="2340"/>
            <w:vAlign w:val="center"/>
          </w:tcPr>
          <w:p>
            <w:r>
              <w:t>加密通道</w:t>
            </w:r>
          </w:p>
        </w:tc>
        <w:tc>
          <w:tcPr>
            <w:tcW w:type="dxa" w:w="2340"/>
            <w:vAlign w:val="center"/>
          </w:tcPr>
          <w:p>
            <w:r>
              <w:t>数据负责人 + 安全</w:t>
            </w:r>
          </w:p>
        </w:tc>
      </w:tr>
      <w:tr>
        <w:tc>
          <w:tcPr>
            <w:tcW w:type="dxa" w:w="2340"/>
            <w:vAlign w:val="center"/>
          </w:tcPr>
          <w:p>
            <w:r>
              <w:t>核心</w:t>
            </w:r>
          </w:p>
        </w:tc>
        <w:tc>
          <w:tcPr>
            <w:tcW w:type="dxa" w:w="2340"/>
            <w:vAlign w:val="center"/>
          </w:tcPr>
          <w:p>
            <w:r>
              <w:t>密钥、重大未公开经营数据</w:t>
            </w:r>
          </w:p>
        </w:tc>
        <w:tc>
          <w:tcPr>
            <w:tcW w:type="dxa" w:w="2340"/>
            <w:vAlign w:val="center"/>
          </w:tcPr>
          <w:p>
            <w:r>
              <w:t>专用受控通道</w:t>
            </w:r>
          </w:p>
        </w:tc>
        <w:tc>
          <w:tcPr>
            <w:tcW w:type="dxa" w:w="2340"/>
            <w:vAlign w:val="center"/>
          </w:tcPr>
          <w:p>
            <w:r>
              <w:t>数据治理委员会</w:t>
            </w:r>
          </w:p>
        </w:tc>
      </w:tr>
    </w:tbl>
    <w:p>
      <w:pPr>
        <w:pStyle w:val="Heading1"/>
      </w:pPr>
      <w:r>
        <w:t>使用说明</w:t>
      </w:r>
    </w:p>
    <w:p>
      <w:r>
        <w:t>本文件中的公司、流程、人员、金额和时限均为虚构。请勿用于真实经营、合规或人事决策。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BC-DATA-011 | 虚构演示数据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北辰数科企业知识库 | 虚构召回测试数据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