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销售报价、折扣与合同例外审批制度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BC-SALES-012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销售运营部 / 财务部 / 法务部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报价管理</w:t>
      </w:r>
    </w:p>
    <w:p>
      <w:r>
        <w:t>所有对外报价必须从CRM生成并关联有效商机。口头报价、聊天截图和个人制作的价目表不能作为签约依据。标准报价有效期为30个自然日。</w:t>
      </w:r>
    </w:p>
    <w:p>
      <w:r>
        <w:t>报价币种、税率、付款条件和交付范围必须明确。客户要求锁价超过30天时，销售运营应重新核验成本。</w:t>
      </w:r>
    </w:p>
    <w:p>
      <w:pPr>
        <w:pStyle w:val="Heading1"/>
      </w:pPr>
      <w:r>
        <w:t>2. 折扣授权</w:t>
      </w:r>
    </w:p>
    <w:p>
      <w:r>
        <w:t>折扣、优惠、让利和特价均按相对于标准目录价的降幅计算。销售人员不得通过赠送服务或拆分订单规避折扣审批。</w:t>
      </w:r>
    </w:p>
    <w:p>
      <w:r>
        <w:t>折扣不超过10%由销售经理批准；超过10%且不超过20%由区域总监和财务批准；超过20%由销售副总裁、财务负责人共同批准。</w:t>
      </w:r>
    </w:p>
    <w:p>
      <w:pPr>
        <w:pStyle w:val="Heading1"/>
      </w:pPr>
      <w:r>
        <w:t>3. 非标准合同条款</w:t>
      </w:r>
    </w:p>
    <w:p>
      <w:r>
        <w:t>无限责任、单方解约、超长账期、源代码交付、排他性和客户数据跨境处理属于合同例外。出现任一例外必须由法务审核，不能以金额较小为由跳过。</w:t>
      </w:r>
    </w:p>
    <w:p>
      <w:r>
        <w:t>付款账期超过60天需财务负责人批准；超过90天还需总经理批准。</w:t>
      </w:r>
    </w:p>
    <w:p>
      <w:pPr>
        <w:pStyle w:val="Heading1"/>
      </w:pPr>
      <w:r>
        <w:t>4. 特批与留痕</w:t>
      </w:r>
    </w:p>
    <w:p>
      <w:r>
        <w:t>紧急特批只能在投标截止或客户业务连续性受到直接影响时申请。申请中必须写明商业理由、风险、补救措施和有效期限。</w:t>
      </w:r>
    </w:p>
    <w:p>
      <w:r>
        <w:t>审批结论必须回写CRM。未留痕的邮件口头同意视为无效。</w:t>
      </w:r>
    </w:p>
    <w:p>
      <w:pPr>
        <w:pStyle w:val="Heading2"/>
      </w:pPr>
      <w:r>
        <w:t>折扣审批表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目录价折扣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审批角色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b/>
              </w:rPr>
              <w:t>附加要求</w:t>
            </w:r>
          </w:p>
        </w:tc>
      </w:tr>
      <w:tr>
        <w:tc>
          <w:tcPr>
            <w:tcW w:type="dxa" w:w="3120"/>
            <w:vAlign w:val="center"/>
          </w:tcPr>
          <w:p>
            <w:r>
              <w:t>0%-10%</w:t>
            </w:r>
          </w:p>
        </w:tc>
        <w:tc>
          <w:tcPr>
            <w:tcW w:type="dxa" w:w="3120"/>
            <w:vAlign w:val="center"/>
          </w:tcPr>
          <w:p>
            <w:r>
              <w:t>销售经理</w:t>
            </w:r>
          </w:p>
        </w:tc>
        <w:tc>
          <w:tcPr>
            <w:tcW w:type="dxa" w:w="3120"/>
            <w:vAlign w:val="center"/>
          </w:tcPr>
          <w:p>
            <w:r>
              <w:t>CRM留痕</w:t>
            </w:r>
          </w:p>
        </w:tc>
      </w:tr>
      <w:tr>
        <w:tc>
          <w:tcPr>
            <w:tcW w:type="dxa" w:w="3120"/>
            <w:vAlign w:val="center"/>
          </w:tcPr>
          <w:p>
            <w:r>
              <w:t>&gt;10%-20%</w:t>
            </w:r>
          </w:p>
        </w:tc>
        <w:tc>
          <w:tcPr>
            <w:tcW w:type="dxa" w:w="3120"/>
            <w:vAlign w:val="center"/>
          </w:tcPr>
          <w:p>
            <w:r>
              <w:t>区域总监 + 财务</w:t>
            </w:r>
          </w:p>
        </w:tc>
        <w:tc>
          <w:tcPr>
            <w:tcW w:type="dxa" w:w="3120"/>
            <w:vAlign w:val="center"/>
          </w:tcPr>
          <w:p>
            <w:r>
              <w:t>毛利测算</w:t>
            </w:r>
          </w:p>
        </w:tc>
      </w:tr>
      <w:tr>
        <w:tc>
          <w:tcPr>
            <w:tcW w:type="dxa" w:w="3120"/>
            <w:vAlign w:val="center"/>
          </w:tcPr>
          <w:p>
            <w:r>
              <w:t>&gt;20%</w:t>
            </w:r>
          </w:p>
        </w:tc>
        <w:tc>
          <w:tcPr>
            <w:tcW w:type="dxa" w:w="3120"/>
            <w:vAlign w:val="center"/>
          </w:tcPr>
          <w:p>
            <w:r>
              <w:t>销售副总裁 + 财务负责人</w:t>
            </w:r>
          </w:p>
        </w:tc>
        <w:tc>
          <w:tcPr>
            <w:tcW w:type="dxa" w:w="3120"/>
            <w:vAlign w:val="center"/>
          </w:tcPr>
          <w:p>
            <w:r>
              <w:t>商业理由与风险说明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BC-SALES-012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