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B2545"/>
          <w:sz w:val="44"/>
        </w:rPr>
        <w:t>办公场所门禁、访客与应急管理细则</w:t>
      </w:r>
    </w:p>
    <w:p>
      <w:pPr>
        <w:spacing w:after="280"/>
      </w:pPr>
      <w:r>
        <w:rPr>
          <w:color w:val="6B7280"/>
          <w:sz w:val="20"/>
        </w:rPr>
        <w:t>企业制度演示文件 | 用于多模态知识库检索与问答评测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5"/>
            <w:shd w:fill="E8EEF5"/>
            <w:vAlign w:val="center"/>
          </w:tcPr>
          <w:p>
            <w:r>
              <w:t>文件编号</w:t>
            </w:r>
          </w:p>
        </w:tc>
        <w:tc>
          <w:tcPr>
            <w:tcW w:type="dxa" w:w="7343"/>
            <w:vAlign w:val="center"/>
          </w:tcPr>
          <w:p>
            <w:r>
              <w:t>BC-FAC-013</w:t>
            </w:r>
          </w:p>
        </w:tc>
      </w:tr>
      <w:tr>
        <w:tc>
          <w:tcPr>
            <w:tcW w:type="dxa" w:w="2015"/>
            <w:shd w:fill="E8EEF5"/>
            <w:vAlign w:val="center"/>
          </w:tcPr>
          <w:p>
            <w:r>
              <w:t>归口部门</w:t>
            </w:r>
          </w:p>
        </w:tc>
        <w:tc>
          <w:tcPr>
            <w:tcW w:type="dxa" w:w="7343"/>
            <w:vAlign w:val="center"/>
          </w:tcPr>
          <w:p>
            <w:r>
              <w:t>行政部 / 安全管理小组</w:t>
            </w:r>
          </w:p>
        </w:tc>
      </w:tr>
      <w:tr>
        <w:tc>
          <w:tcPr>
            <w:tcW w:type="dxa" w:w="2015"/>
            <w:shd w:fill="E8EEF5"/>
            <w:vAlign w:val="center"/>
          </w:tcPr>
          <w:p>
            <w:r>
              <w:t>版本</w:t>
            </w:r>
          </w:p>
        </w:tc>
        <w:tc>
          <w:tcPr>
            <w:tcW w:type="dxa" w:w="7343"/>
            <w:vAlign w:val="center"/>
          </w:tcPr>
          <w:p>
            <w:r>
              <w:t>V1.0 / 2026-07-14</w:t>
            </w:r>
          </w:p>
        </w:tc>
      </w:tr>
      <w:tr>
        <w:tc>
          <w:tcPr>
            <w:tcW w:type="dxa" w:w="2015"/>
            <w:shd w:fill="E8EEF5"/>
            <w:vAlign w:val="center"/>
          </w:tcPr>
          <w:p>
            <w:r>
              <w:t>资料属性</w:t>
            </w:r>
          </w:p>
        </w:tc>
        <w:tc>
          <w:tcPr>
            <w:tcW w:type="dxa" w:w="7343"/>
            <w:vAlign w:val="center"/>
          </w:tcPr>
          <w:p>
            <w:r>
              <w:t>完全虚构，仅用于功能演示和技术测试</w:t>
            </w:r>
          </w:p>
        </w:tc>
      </w:tr>
    </w:tbl>
    <w:p/>
    <w:p>
      <w:pPr>
        <w:pStyle w:val="Heading1"/>
      </w:pPr>
      <w:r>
        <w:t>1. 门禁与工牌</w:t>
      </w:r>
    </w:p>
    <w:p>
      <w:r>
        <w:t>员工工牌、门禁卡和通行证仅限本人使用，不得转借或代刷。遗失后应在30分钟内通过行政服务台挂失。</w:t>
      </w:r>
    </w:p>
    <w:p>
      <w:r>
        <w:t>临时通行权限最长开放5个工作日。机房、档案室和财务区域属于限制区，需区域负责人单独授权。</w:t>
      </w:r>
    </w:p>
    <w:p>
      <w:pPr>
        <w:pStyle w:val="Heading1"/>
      </w:pPr>
      <w:r>
        <w:t>2. 访客管理</w:t>
      </w:r>
    </w:p>
    <w:p>
      <w:r>
        <w:t>邀请人至少提前2小时提交访客预约，填写姓名、单位、手机号、到访时间和访问区域。前台核验有效身份证件后发放访客证。</w:t>
      </w:r>
    </w:p>
    <w:p>
      <w:r>
        <w:t>访客在办公区域内必须由员工陪同。快递和外卖人员不得进入办公区，应在指定交接点停留。</w:t>
      </w:r>
    </w:p>
    <w:p>
      <w:pPr>
        <w:pStyle w:val="Heading1"/>
      </w:pPr>
      <w:r>
        <w:t>3. 加班与非工作时间进入</w:t>
      </w:r>
    </w:p>
    <w:p>
      <w:r>
        <w:t>工作日22时后、周末和法定节假日进入办公区属于非工作时间访问。员工须提前获得直属主管批准，并在门禁系统登记预计离开时间。</w:t>
      </w:r>
    </w:p>
    <w:p>
      <w:r>
        <w:t>单人在限制区域作业时应每60分钟向值班人员报平安。</w:t>
      </w:r>
    </w:p>
    <w:p>
      <w:pPr>
        <w:pStyle w:val="Heading1"/>
      </w:pPr>
      <w:r>
        <w:t>4. 应急处置</w:t>
      </w:r>
    </w:p>
    <w:p>
      <w:r>
        <w:t>火警时立即停止工作，从最近安全出口疏散，不得乘坐电梯，不得返回工位取物。到达集合点后由楼层安全员清点人员。</w:t>
      </w:r>
    </w:p>
    <w:p>
      <w:r>
        <w:t>发现可疑物品时不得触碰或移动，应隔离现场并通知行政值班电话。医疗紧急情况先拨打120，再通知前台引导急救人员。</w:t>
      </w:r>
    </w:p>
    <w:p>
      <w:pPr>
        <w:pStyle w:val="Heading2"/>
      </w:pPr>
      <w:r>
        <w:t>访问权限速查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vAlign w:val="center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rPr>
                <w:b/>
              </w:rPr>
              <w:t>提前时间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rPr>
                <w:b/>
              </w:rPr>
              <w:t>批准人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rPr>
                <w:b/>
              </w:rPr>
              <w:t>最长时限</w:t>
            </w:r>
          </w:p>
        </w:tc>
      </w:tr>
      <w:tr>
        <w:tc>
          <w:tcPr>
            <w:tcW w:type="dxa" w:w="2340"/>
            <w:vAlign w:val="center"/>
          </w:tcPr>
          <w:p>
            <w:r>
              <w:t>普通访客</w:t>
            </w:r>
          </w:p>
        </w:tc>
        <w:tc>
          <w:tcPr>
            <w:tcW w:type="dxa" w:w="2340"/>
            <w:vAlign w:val="center"/>
          </w:tcPr>
          <w:p>
            <w:r>
              <w:t>2小时</w:t>
            </w:r>
          </w:p>
        </w:tc>
        <w:tc>
          <w:tcPr>
            <w:tcW w:type="dxa" w:w="2340"/>
            <w:vAlign w:val="center"/>
          </w:tcPr>
          <w:p>
            <w:r>
              <w:t>邀请人登记</w:t>
            </w:r>
          </w:p>
        </w:tc>
        <w:tc>
          <w:tcPr>
            <w:tcW w:type="dxa" w:w="2340"/>
            <w:vAlign w:val="center"/>
          </w:tcPr>
          <w:p>
            <w:r>
              <w:t>当日</w:t>
            </w:r>
          </w:p>
        </w:tc>
      </w:tr>
      <w:tr>
        <w:tc>
          <w:tcPr>
            <w:tcW w:type="dxa" w:w="2340"/>
            <w:vAlign w:val="center"/>
          </w:tcPr>
          <w:p>
            <w:r>
              <w:t>临时门禁</w:t>
            </w:r>
          </w:p>
        </w:tc>
        <w:tc>
          <w:tcPr>
            <w:tcW w:type="dxa" w:w="2340"/>
            <w:vAlign w:val="center"/>
          </w:tcPr>
          <w:p>
            <w:r>
              <w:t>1个工作日</w:t>
            </w:r>
          </w:p>
        </w:tc>
        <w:tc>
          <w:tcPr>
            <w:tcW w:type="dxa" w:w="2340"/>
            <w:vAlign w:val="center"/>
          </w:tcPr>
          <w:p>
            <w:r>
              <w:t>直属主管</w:t>
            </w:r>
          </w:p>
        </w:tc>
        <w:tc>
          <w:tcPr>
            <w:tcW w:type="dxa" w:w="2340"/>
            <w:vAlign w:val="center"/>
          </w:tcPr>
          <w:p>
            <w:r>
              <w:t>5个工作日</w:t>
            </w:r>
          </w:p>
        </w:tc>
      </w:tr>
      <w:tr>
        <w:tc>
          <w:tcPr>
            <w:tcW w:type="dxa" w:w="2340"/>
            <w:vAlign w:val="center"/>
          </w:tcPr>
          <w:p>
            <w:r>
              <w:t>限制区</w:t>
            </w:r>
          </w:p>
        </w:tc>
        <w:tc>
          <w:tcPr>
            <w:tcW w:type="dxa" w:w="2340"/>
            <w:vAlign w:val="center"/>
          </w:tcPr>
          <w:p>
            <w:r>
              <w:t>1个工作日</w:t>
            </w:r>
          </w:p>
        </w:tc>
        <w:tc>
          <w:tcPr>
            <w:tcW w:type="dxa" w:w="2340"/>
            <w:vAlign w:val="center"/>
          </w:tcPr>
          <w:p>
            <w:r>
              <w:t>区域负责人</w:t>
            </w:r>
          </w:p>
        </w:tc>
        <w:tc>
          <w:tcPr>
            <w:tcW w:type="dxa" w:w="2340"/>
            <w:vAlign w:val="center"/>
          </w:tcPr>
          <w:p>
            <w:r>
              <w:t>按任务期限</w:t>
            </w:r>
          </w:p>
        </w:tc>
      </w:tr>
      <w:tr>
        <w:tc>
          <w:tcPr>
            <w:tcW w:type="dxa" w:w="2340"/>
            <w:vAlign w:val="center"/>
          </w:tcPr>
          <w:p>
            <w:r>
              <w:t>非工作时间</w:t>
            </w:r>
          </w:p>
        </w:tc>
        <w:tc>
          <w:tcPr>
            <w:tcW w:type="dxa" w:w="2340"/>
            <w:vAlign w:val="center"/>
          </w:tcPr>
          <w:p>
            <w:r>
              <w:t>进入前</w:t>
            </w:r>
          </w:p>
        </w:tc>
        <w:tc>
          <w:tcPr>
            <w:tcW w:type="dxa" w:w="2340"/>
            <w:vAlign w:val="center"/>
          </w:tcPr>
          <w:p>
            <w:r>
              <w:t>直属主管</w:t>
            </w:r>
          </w:p>
        </w:tc>
        <w:tc>
          <w:tcPr>
            <w:tcW w:type="dxa" w:w="2340"/>
            <w:vAlign w:val="center"/>
          </w:tcPr>
          <w:p>
            <w:r>
              <w:t>当次访问</w:t>
            </w:r>
          </w:p>
        </w:tc>
      </w:tr>
    </w:tbl>
    <w:p>
      <w:pPr>
        <w:pStyle w:val="Heading1"/>
      </w:pPr>
      <w:r>
        <w:t>使用说明</w:t>
      </w:r>
    </w:p>
    <w:p>
      <w:r>
        <w:t>本文件中的公司、流程、人员、金额和时限均为虚构。请勿用于真实经营、合规或人事决策。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>BC-FAC-013 | 虚构演示数据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B7280"/>
        <w:sz w:val="17"/>
      </w:rPr>
      <w:t>北辰数科企业知识库 | 虚构召回测试数据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