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1741EF">
        <w:fldChar w:fldCharType="begin"/>
      </w:r>
      <w:r w:rsidR="001741EF">
        <w:instrText xml:space="preserve"> DATE \* MERGEFORMAT </w:instrText>
      </w:r>
      <w:r w:rsidR="001741EF">
        <w:fldChar w:fldCharType="separate"/>
      </w:r>
      <w:r w:rsidR="00EB557E">
        <w:rPr>
          <w:noProof/>
        </w:rPr>
        <w:t>12/9/2012</w:t>
      </w:r>
      <w:r w:rsidR="001741EF">
        <w:rPr>
          <w:noProof/>
        </w:rPr>
        <w:fldChar w:fldCharType="end"/>
      </w:r>
    </w:p>
    <w:p w:rsidR="002E0B7F" w:rsidRDefault="002C68CB">
      <w:pPr>
        <w:pStyle w:val="MessageHeaderLast"/>
      </w:pPr>
      <w:r>
        <w:rPr>
          <w:rStyle w:val="MessageHeaderLabel"/>
        </w:rPr>
        <w:t>Title</w:t>
      </w:r>
      <w:r w:rsidR="00F20ED4">
        <w:rPr>
          <w:rStyle w:val="MessageHeaderLabel"/>
        </w:rPr>
        <w:t>:</w:t>
      </w:r>
      <w:r w:rsidR="00810FDA">
        <w:tab/>
        <w:t>Lab02</w:t>
      </w:r>
      <w:r>
        <w:t xml:space="preserve"> – </w:t>
      </w:r>
      <w:r w:rsidR="00EB557E">
        <w:t>Random Wander, Obstacle Avoidance</w:t>
      </w:r>
    </w:p>
    <w:p w:rsidR="00DC4AD2" w:rsidRDefault="00DC4AD2" w:rsidP="00EE0A89">
      <w:pPr>
        <w:pStyle w:val="BodyText"/>
      </w:pPr>
      <w:r>
        <w:rPr>
          <w:b/>
          <w:u w:val="single"/>
        </w:rPr>
        <w:t>PURPOSE</w:t>
      </w:r>
    </w:p>
    <w:p w:rsidR="00046070" w:rsidRDefault="00EB557E" w:rsidP="00DC4AD2">
      <w:pPr>
        <w:pStyle w:val="BodyText"/>
      </w:pPr>
      <w:r>
        <w:t xml:space="preserve">The purpose is to develop random wander and obstacle avoidance behaviors for the CEENBoT. We used </w:t>
      </w:r>
      <w:r>
        <w:rPr>
          <w:i/>
        </w:rPr>
        <w:t>submission architecture</w:t>
      </w:r>
      <w:r>
        <w:t xml:space="preserve"> for the design of our program to incorporate several basic levels or </w:t>
      </w:r>
      <w:r>
        <w:rPr>
          <w:i/>
        </w:rPr>
        <w:t>layers</w:t>
      </w:r>
      <w:r>
        <w:t xml:space="preserve"> of obstacle avoidance. Layer 0 of our control architecture included </w:t>
      </w:r>
      <w:r>
        <w:rPr>
          <w:i/>
        </w:rPr>
        <w:t>collide</w:t>
      </w:r>
      <w:r>
        <w:t xml:space="preserve"> and </w:t>
      </w:r>
      <w:r>
        <w:rPr>
          <w:i/>
        </w:rPr>
        <w:t xml:space="preserve">run away </w:t>
      </w:r>
      <w:r>
        <w:t xml:space="preserve">behaviors to </w:t>
      </w:r>
      <w:bookmarkStart w:id="0" w:name="_GoBack"/>
      <w:bookmarkEnd w:id="0"/>
      <w:r>
        <w:t xml:space="preserve">keep the robot from hitting obstacles. Layer 1 of our control architecture incorporates the </w:t>
      </w:r>
      <w:r>
        <w:rPr>
          <w:i/>
        </w:rPr>
        <w:t>random wander</w:t>
      </w:r>
      <w:r>
        <w:t xml:space="preserve"> behavior which moves the robot a random distance and/or heading every </w:t>
      </w:r>
      <w:r>
        <w:rPr>
          <w:i/>
        </w:rPr>
        <w:t>n</w:t>
      </w:r>
      <w:r>
        <w:t xml:space="preserve"> seconds.</w:t>
      </w:r>
    </w:p>
    <w:p w:rsidR="00EB557E" w:rsidRPr="00EB557E" w:rsidRDefault="00EB557E" w:rsidP="00DC4AD2">
      <w:pPr>
        <w:pStyle w:val="BodyText"/>
      </w:pPr>
    </w:p>
    <w:p w:rsidR="00046070" w:rsidRDefault="00BB2B74" w:rsidP="00DC4AD2">
      <w:pPr>
        <w:pStyle w:val="BodyText"/>
        <w:rPr>
          <w:b/>
          <w:u w:val="single"/>
        </w:rPr>
      </w:pPr>
      <w:r>
        <w:rPr>
          <w:b/>
          <w:u w:val="single"/>
        </w:rPr>
        <w:t xml:space="preserve">PROCEDURES AND </w:t>
      </w:r>
      <w:r w:rsidR="00046070">
        <w:rPr>
          <w:b/>
          <w:u w:val="single"/>
        </w:rPr>
        <w:t>STRATEGY</w:t>
      </w:r>
    </w:p>
    <w:p w:rsidR="00EB557E" w:rsidRDefault="00EB557E" w:rsidP="00DC4AD2">
      <w:pPr>
        <w:pStyle w:val="BodyText"/>
      </w:pPr>
      <w:r>
        <w:t xml:space="preserve">Before we actually started programming the robot, we started testing the range sensors of the robot. Our CEENBoT is equipped with 4 short distance IR sensors that the robot can use to perceive information, in this case distance, from the environment. </w:t>
      </w:r>
    </w:p>
    <w:p w:rsidR="00EB557E" w:rsidRDefault="00EB557E" w:rsidP="00DC4AD2">
      <w:pPr>
        <w:pStyle w:val="BodyText"/>
      </w:pPr>
      <w:r>
        <w:t xml:space="preserve">We verified that the range of our sensors is valid from at least 5 cm and up to 45 cm away from each of the sensors. Although the robot can sense objects farther than 45 cm away, the feedback signal is too noise to make sound computations. </w:t>
      </w:r>
      <w:r w:rsidR="0029207D">
        <w:rPr>
          <w:i/>
        </w:rPr>
        <w:t>Refer to Figure 1 for a table displaying the IR analog voltage values for each of the IR sensors.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Tr="00AB2DC1">
        <w:tc>
          <w:tcPr>
            <w:tcW w:w="9691" w:type="dxa"/>
          </w:tcPr>
          <w:tbl>
            <w:tblPr>
              <w:tblW w:w="7582" w:type="dxa"/>
              <w:jc w:val="center"/>
              <w:tblLook w:val="04A0" w:firstRow="1" w:lastRow="0" w:firstColumn="1" w:lastColumn="0" w:noHBand="0" w:noVBand="1"/>
            </w:tblPr>
            <w:tblGrid>
              <w:gridCol w:w="1679"/>
              <w:gridCol w:w="1435"/>
              <w:gridCol w:w="1112"/>
              <w:gridCol w:w="1132"/>
              <w:gridCol w:w="1254"/>
              <w:gridCol w:w="970"/>
            </w:tblGrid>
            <w:tr w:rsidR="0029207D" w:rsidRPr="0029207D" w:rsidTr="0029207D">
              <w:trPr>
                <w:trHeight w:val="271"/>
                <w:jc w:val="center"/>
              </w:trPr>
              <w:tc>
                <w:tcPr>
                  <w:tcW w:w="167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Distance (cm)</w:t>
                  </w:r>
                </w:p>
              </w:tc>
              <w:tc>
                <w:tcPr>
                  <w:tcW w:w="1435" w:type="dxa"/>
                  <w:tcBorders>
                    <w:top w:val="single" w:sz="12" w:space="0" w:color="auto"/>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Distance (")</w:t>
                  </w:r>
                </w:p>
              </w:tc>
              <w:tc>
                <w:tcPr>
                  <w:tcW w:w="111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Front</w:t>
                  </w:r>
                </w:p>
              </w:tc>
              <w:tc>
                <w:tcPr>
                  <w:tcW w:w="113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Left</w:t>
                  </w:r>
                </w:p>
              </w:tc>
              <w:tc>
                <w:tcPr>
                  <w:tcW w:w="1254"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Right</w:t>
                  </w:r>
                </w:p>
              </w:tc>
              <w:tc>
                <w:tcPr>
                  <w:tcW w:w="97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Back</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1.97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5.35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5.15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5.27</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3.94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11.09</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11.19</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10.04</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10.29</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5.91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15.75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14.92</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14.92</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7.87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20.90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21.42</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19.96</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19.67</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9.84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25.98</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25.25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24.79</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11.81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30.00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30.00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29.35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28.14</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13.78</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37.00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37.00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34.98</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34.98</w:t>
                  </w:r>
                </w:p>
              </w:tc>
            </w:tr>
            <w:tr w:rsidR="0029207D" w:rsidRPr="0029207D"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15.75</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41.00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40.63</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41.85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41.23</w:t>
                  </w:r>
                </w:p>
              </w:tc>
            </w:tr>
            <w:tr w:rsidR="0029207D" w:rsidRPr="0029207D" w:rsidTr="0029207D">
              <w:trPr>
                <w:trHeight w:val="271"/>
                <w:jc w:val="center"/>
              </w:trPr>
              <w:tc>
                <w:tcPr>
                  <w:tcW w:w="1679"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45</w:t>
                  </w:r>
                </w:p>
              </w:tc>
              <w:tc>
                <w:tcPr>
                  <w:tcW w:w="1435"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17.72</w:t>
                  </w:r>
                </w:p>
              </w:tc>
              <w:tc>
                <w:tcPr>
                  <w:tcW w:w="1112"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53.98</w:t>
                  </w:r>
                </w:p>
              </w:tc>
              <w:tc>
                <w:tcPr>
                  <w:tcW w:w="1132"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50.12</w:t>
                  </w:r>
                </w:p>
              </w:tc>
              <w:tc>
                <w:tcPr>
                  <w:tcW w:w="1254"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47.57</w:t>
                  </w:r>
                </w:p>
              </w:tc>
              <w:tc>
                <w:tcPr>
                  <w:tcW w:w="970" w:type="dxa"/>
                  <w:tcBorders>
                    <w:top w:val="nil"/>
                    <w:left w:val="nil"/>
                    <w:bottom w:val="single" w:sz="12"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44.53</w:t>
                  </w:r>
                </w:p>
              </w:tc>
            </w:tr>
          </w:tbl>
          <w:p w:rsidR="0029207D" w:rsidRDefault="0029207D" w:rsidP="0029207D">
            <w:pPr>
              <w:pStyle w:val="BodyText"/>
              <w:ind w:left="0"/>
              <w:jc w:val="center"/>
            </w:pPr>
          </w:p>
        </w:tc>
      </w:tr>
      <w:tr w:rsidR="0029207D" w:rsidTr="00AB2DC1">
        <w:tc>
          <w:tcPr>
            <w:tcW w:w="9691" w:type="dxa"/>
          </w:tcPr>
          <w:p w:rsidR="0029207D" w:rsidRPr="0029207D" w:rsidRDefault="0029207D" w:rsidP="00DC4AD2">
            <w:pPr>
              <w:pStyle w:val="BodyText"/>
              <w:ind w:left="0"/>
              <w:rPr>
                <w:sz w:val="18"/>
                <w:szCs w:val="18"/>
              </w:rPr>
            </w:pPr>
            <w:r>
              <w:rPr>
                <w:sz w:val="18"/>
                <w:szCs w:val="18"/>
              </w:rPr>
              <w:t xml:space="preserve">Figure 1: Range Sensor calibration data for the IR sensors. The minimum range observed was 5 cm away from the sensors while the maximum </w:t>
            </w:r>
            <w:r>
              <w:rPr>
                <w:sz w:val="18"/>
                <w:szCs w:val="18"/>
                <w:u w:val="single"/>
              </w:rPr>
              <w:t>consistent</w:t>
            </w:r>
            <w:r>
              <w:rPr>
                <w:sz w:val="18"/>
                <w:szCs w:val="18"/>
              </w:rPr>
              <w:t xml:space="preserve"> range was 45 cm away.</w:t>
            </w:r>
          </w:p>
        </w:tc>
      </w:tr>
    </w:tbl>
    <w:p w:rsidR="0029207D" w:rsidRDefault="0029207D" w:rsidP="00DC4AD2">
      <w:pPr>
        <w:pStyle w:val="BodyText"/>
      </w:pPr>
      <w:r>
        <w:lastRenderedPageBreak/>
        <w:t xml:space="preserve">From the data measured above, we were also able to compute some basic error analysis for our sensors and verified that sensors, including sensors with same make and model, are not 100% identical. Thus these minute differences can yield to systematic errors that can yield great errors for robots that operate at large scales (i.e. not dead reckoning). </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Tr="00AB2DC1">
        <w:tc>
          <w:tcPr>
            <w:tcW w:w="9691" w:type="dxa"/>
          </w:tcPr>
          <w:tbl>
            <w:tblPr>
              <w:tblW w:w="7145" w:type="dxa"/>
              <w:jc w:val="center"/>
              <w:tblLook w:val="04A0" w:firstRow="1" w:lastRow="0" w:firstColumn="1" w:lastColumn="0" w:noHBand="0" w:noVBand="1"/>
            </w:tblPr>
            <w:tblGrid>
              <w:gridCol w:w="1894"/>
              <w:gridCol w:w="1282"/>
              <w:gridCol w:w="1282"/>
              <w:gridCol w:w="1527"/>
              <w:gridCol w:w="1160"/>
            </w:tblGrid>
            <w:tr w:rsidR="0029207D" w:rsidRPr="0029207D" w:rsidTr="00A27F83">
              <w:trPr>
                <w:trHeight w:val="319"/>
                <w:jc w:val="center"/>
              </w:trPr>
              <w:tc>
                <w:tcPr>
                  <w:tcW w:w="1894"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Distance (cm)</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Front</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Left</w:t>
                  </w:r>
                </w:p>
              </w:tc>
              <w:tc>
                <w:tcPr>
                  <w:tcW w:w="1527"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Right</w:t>
                  </w:r>
                </w:p>
              </w:tc>
              <w:tc>
                <w:tcPr>
                  <w:tcW w:w="116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29207D" w:rsidRDefault="0029207D" w:rsidP="0029207D">
                  <w:pPr>
                    <w:ind w:left="0"/>
                    <w:jc w:val="center"/>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IR Back</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0.35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0.15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0.27</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1.09</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1.19</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0.29</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0.75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-0.08</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-0.08</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0.90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1.42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-0.33</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0.98</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0.25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-0.21</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-0.65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-1.86</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35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-0.02</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-0.02</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0.63</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1.85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1.23</w:t>
                  </w:r>
                </w:p>
              </w:tc>
            </w:tr>
            <w:tr w:rsidR="0029207D" w:rsidRPr="0029207D"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45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8.98</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5.12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2.57</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29207D" w:rsidRDefault="0029207D" w:rsidP="0029207D">
                  <w:pPr>
                    <w:ind w:left="0"/>
                    <w:jc w:val="center"/>
                    <w:rPr>
                      <w:rFonts w:ascii="Calibri" w:hAnsi="Calibri"/>
                      <w:color w:val="000000"/>
                      <w:spacing w:val="0"/>
                      <w:sz w:val="22"/>
                      <w:szCs w:val="22"/>
                      <w:lang w:eastAsia="ja-JP"/>
                    </w:rPr>
                  </w:pPr>
                  <w:r w:rsidRPr="0029207D">
                    <w:rPr>
                      <w:rFonts w:ascii="Calibri" w:hAnsi="Calibri"/>
                      <w:color w:val="000000"/>
                      <w:spacing w:val="0"/>
                      <w:sz w:val="22"/>
                      <w:szCs w:val="22"/>
                      <w:lang w:eastAsia="ja-JP"/>
                    </w:rPr>
                    <w:t>-0.47</w:t>
                  </w:r>
                </w:p>
              </w:tc>
            </w:tr>
            <w:tr w:rsidR="0029207D" w:rsidRPr="0029207D" w:rsidTr="00A27F83">
              <w:trPr>
                <w:trHeight w:val="319"/>
                <w:jc w:val="center"/>
              </w:trPr>
              <w:tc>
                <w:tcPr>
                  <w:tcW w:w="1894"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29207D" w:rsidRDefault="0029207D" w:rsidP="0029207D">
                  <w:pPr>
                    <w:ind w:left="0"/>
                    <w:rPr>
                      <w:rFonts w:ascii="Calibri" w:hAnsi="Calibri"/>
                      <w:b/>
                      <w:bCs/>
                      <w:color w:val="000000"/>
                      <w:spacing w:val="0"/>
                      <w:sz w:val="22"/>
                      <w:szCs w:val="22"/>
                      <w:lang w:eastAsia="ja-JP"/>
                    </w:rPr>
                  </w:pPr>
                  <w:r w:rsidRPr="0029207D">
                    <w:rPr>
                      <w:rFonts w:ascii="Calibri" w:hAnsi="Calibri"/>
                      <w:b/>
                      <w:bCs/>
                      <w:color w:val="000000"/>
                      <w:spacing w:val="0"/>
                      <w:sz w:val="22"/>
                      <w:szCs w:val="22"/>
                      <w:lang w:eastAsia="ja-JP"/>
                    </w:rPr>
                    <w:t>Stand. Deviations</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2.7793275</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1.5203738</w:t>
                  </w:r>
                </w:p>
              </w:tc>
              <w:tc>
                <w:tcPr>
                  <w:tcW w:w="1527" w:type="dxa"/>
                  <w:tcBorders>
                    <w:top w:val="nil"/>
                    <w:left w:val="nil"/>
                    <w:bottom w:val="single" w:sz="12" w:space="0" w:color="auto"/>
                    <w:right w:val="single" w:sz="4"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1.043093689</w:t>
                  </w:r>
                </w:p>
              </w:tc>
              <w:tc>
                <w:tcPr>
                  <w:tcW w:w="1160" w:type="dxa"/>
                  <w:tcBorders>
                    <w:top w:val="nil"/>
                    <w:left w:val="nil"/>
                    <w:bottom w:val="single" w:sz="12" w:space="0" w:color="auto"/>
                    <w:right w:val="single" w:sz="12" w:space="0" w:color="auto"/>
                  </w:tcBorders>
                  <w:shd w:val="clear" w:color="auto" w:fill="auto"/>
                  <w:noWrap/>
                  <w:vAlign w:val="bottom"/>
                  <w:hideMark/>
                </w:tcPr>
                <w:p w:rsidR="0029207D" w:rsidRPr="0029207D" w:rsidRDefault="0029207D" w:rsidP="0029207D">
                  <w:pPr>
                    <w:ind w:left="0"/>
                    <w:jc w:val="right"/>
                    <w:rPr>
                      <w:rFonts w:ascii="Calibri" w:hAnsi="Calibri"/>
                      <w:color w:val="000000"/>
                      <w:spacing w:val="0"/>
                      <w:sz w:val="22"/>
                      <w:szCs w:val="22"/>
                      <w:lang w:eastAsia="ja-JP"/>
                    </w:rPr>
                  </w:pPr>
                  <w:r w:rsidRPr="0029207D">
                    <w:rPr>
                      <w:rFonts w:ascii="Calibri" w:hAnsi="Calibri"/>
                      <w:color w:val="000000"/>
                      <w:spacing w:val="0"/>
                      <w:sz w:val="22"/>
                      <w:szCs w:val="22"/>
                      <w:lang w:eastAsia="ja-JP"/>
                    </w:rPr>
                    <w:t>0.818191</w:t>
                  </w:r>
                </w:p>
              </w:tc>
            </w:tr>
          </w:tbl>
          <w:p w:rsidR="0029207D" w:rsidRDefault="0029207D" w:rsidP="0029207D">
            <w:pPr>
              <w:pStyle w:val="BodyText"/>
              <w:ind w:left="0"/>
              <w:jc w:val="center"/>
            </w:pPr>
          </w:p>
        </w:tc>
      </w:tr>
      <w:tr w:rsidR="0029207D" w:rsidTr="00AB2DC1">
        <w:tc>
          <w:tcPr>
            <w:tcW w:w="9691" w:type="dxa"/>
          </w:tcPr>
          <w:p w:rsidR="0029207D" w:rsidRPr="00A27F83" w:rsidRDefault="00A27F83" w:rsidP="00A27F83">
            <w:pPr>
              <w:pStyle w:val="BodyText"/>
              <w:ind w:left="0"/>
              <w:rPr>
                <w:sz w:val="18"/>
                <w:szCs w:val="18"/>
              </w:rPr>
            </w:pPr>
            <w:r>
              <w:rPr>
                <w:sz w:val="18"/>
                <w:szCs w:val="18"/>
              </w:rPr>
              <w:t xml:space="preserve">Figure 2: Error analysis and standard deviations computed for the IR sensors of our CEENBoT. From this data we can see that the IR sensor with the most error is the front sensor while the most reliable IR sensor is the back sensor. </w:t>
            </w:r>
          </w:p>
        </w:tc>
      </w:tr>
    </w:tbl>
    <w:p w:rsidR="0029207D" w:rsidRDefault="0029207D" w:rsidP="00DC4AD2">
      <w:pPr>
        <w:pStyle w:val="BodyText"/>
      </w:pPr>
    </w:p>
    <w:p w:rsidR="00A27F83" w:rsidRPr="00A27F83" w:rsidRDefault="00A27F83" w:rsidP="00DC4AD2">
      <w:pPr>
        <w:pStyle w:val="BodyText"/>
        <w:rPr>
          <w:u w:val="single"/>
        </w:rPr>
      </w:pPr>
      <w:r>
        <w:rPr>
          <w:u w:val="single"/>
        </w:rPr>
        <w:t>Layer 0: Collide and Run Away behaviors</w:t>
      </w:r>
    </w:p>
    <w:p w:rsidR="00046070" w:rsidRDefault="00046070" w:rsidP="00046070">
      <w:pPr>
        <w:pStyle w:val="BodyText"/>
        <w:rPr>
          <w:b/>
          <w:u w:val="single"/>
        </w:rPr>
      </w:pPr>
      <w:r>
        <w:rPr>
          <w:b/>
          <w:u w:val="single"/>
        </w:rPr>
        <w:t>CONCLUSION</w:t>
      </w:r>
    </w:p>
    <w:p w:rsidR="0046032F" w:rsidRDefault="0046032F" w:rsidP="00046070">
      <w:pPr>
        <w:pStyle w:val="BodyText"/>
      </w:pPr>
      <w:r>
        <w:t xml:space="preserve">We were able to observe various types of odometry error involved in the locomotion of mobile robotics. We learn that the offsets can be due to systematic and non-systematic errors. To account for the errors we observed, we use the UMBark method to compute the offsets from the initial starting point and generate a set of tuning parameters for our wheels. The tuning parameters barely affect the locomotion of our robot since they are close to 1 and because the robot is actually traveling a small distance. </w:t>
      </w:r>
    </w:p>
    <w:p w:rsidR="00483269" w:rsidRDefault="00483269" w:rsidP="00046070">
      <w:pPr>
        <w:pStyle w:val="BodyText"/>
      </w:pPr>
      <w:r>
        <w:t xml:space="preserve">In the future, we want to add subroutines that will calculate the number of steps to perform any single point turns or arc lengths to perform </w:t>
      </w:r>
      <w:r>
        <w:rPr>
          <w:u w:val="single"/>
        </w:rPr>
        <w:t>any</w:t>
      </w:r>
      <w:r>
        <w:t xml:space="preserve"> geometric pattern.</w:t>
      </w:r>
    </w:p>
    <w:p w:rsidR="00CA37F3" w:rsidRDefault="00CA37F3" w:rsidP="00046070">
      <w:pPr>
        <w:pStyle w:val="BodyText"/>
      </w:pPr>
    </w:p>
    <w:p w:rsidR="00CA37F3" w:rsidRPr="00483269" w:rsidRDefault="00CA37F3" w:rsidP="00046070">
      <w:pPr>
        <w:pStyle w:val="BodyText"/>
      </w:pPr>
      <w:r>
        <w:rPr>
          <w:noProof/>
          <w:lang w:eastAsia="ja-JP"/>
        </w:rPr>
        <w:drawing>
          <wp:inline distT="0" distB="0" distL="0" distR="0">
            <wp:extent cx="6016625" cy="9907307"/>
            <wp:effectExtent l="0" t="0" r="3175" b="0"/>
            <wp:docPr id="2" name="Picture 2" descr="C:\Users\whitemrj\Documents\Scanned Document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6625" cy="9907307"/>
                    </a:xfrm>
                    <a:prstGeom prst="rect">
                      <a:avLst/>
                    </a:prstGeom>
                    <a:noFill/>
                    <a:ln>
                      <a:noFill/>
                    </a:ln>
                  </pic:spPr>
                </pic:pic>
              </a:graphicData>
            </a:graphic>
          </wp:inline>
        </w:drawing>
      </w:r>
    </w:p>
    <w:sectPr w:rsidR="00CA37F3" w:rsidRPr="00483269">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1EF" w:rsidRDefault="001741EF">
      <w:r>
        <w:separator/>
      </w:r>
    </w:p>
  </w:endnote>
  <w:endnote w:type="continuationSeparator" w:id="0">
    <w:p w:rsidR="001741EF" w:rsidRDefault="0017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AB2DC1">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1741E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1EF" w:rsidRDefault="001741EF">
      <w:r>
        <w:separator/>
      </w:r>
    </w:p>
  </w:footnote>
  <w:footnote w:type="continuationSeparator" w:id="0">
    <w:p w:rsidR="001741EF" w:rsidRDefault="00174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46070"/>
    <w:rsid w:val="001741EF"/>
    <w:rsid w:val="0029207D"/>
    <w:rsid w:val="002A328A"/>
    <w:rsid w:val="002C68CB"/>
    <w:rsid w:val="002E0B7F"/>
    <w:rsid w:val="003C28A4"/>
    <w:rsid w:val="003C337F"/>
    <w:rsid w:val="0046032F"/>
    <w:rsid w:val="00483269"/>
    <w:rsid w:val="004B2955"/>
    <w:rsid w:val="004D2601"/>
    <w:rsid w:val="00670BA9"/>
    <w:rsid w:val="0068617C"/>
    <w:rsid w:val="00736010"/>
    <w:rsid w:val="00810FDA"/>
    <w:rsid w:val="00832907"/>
    <w:rsid w:val="0095650F"/>
    <w:rsid w:val="00A27F83"/>
    <w:rsid w:val="00AB2DC1"/>
    <w:rsid w:val="00BB2B74"/>
    <w:rsid w:val="00CA37F3"/>
    <w:rsid w:val="00D80C9C"/>
    <w:rsid w:val="00DB0D6C"/>
    <w:rsid w:val="00DC4AD2"/>
    <w:rsid w:val="00DF2DA6"/>
    <w:rsid w:val="00E3046A"/>
    <w:rsid w:val="00EB557E"/>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127</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15</cp:revision>
  <dcterms:created xsi:type="dcterms:W3CDTF">2012-12-03T00:13:00Z</dcterms:created>
  <dcterms:modified xsi:type="dcterms:W3CDTF">2012-12-10T02:36:00Z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