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332B5" w:rsidTr="00574B83">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10A098C6" wp14:editId="7C119D19">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574B83">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filter G</w:t>
      </w:r>
      <w:r w:rsidRPr="007332B5">
        <w:rPr>
          <w:rFonts w:ascii="Garamond" w:hAnsi="Garamond" w:cs="Arial"/>
          <w:color w:val="000000"/>
          <w:sz w:val="22"/>
          <w:szCs w:val="22"/>
          <w:vertAlign w:val="subscript"/>
        </w:rPr>
        <w:t>pf</w:t>
      </w:r>
      <w:r w:rsidRPr="007332B5">
        <w:rPr>
          <w:rFonts w:ascii="Garamond" w:hAnsi="Garamond" w:cs="Arial"/>
          <w:color w:val="000000"/>
          <w:sz w:val="22"/>
          <w:szCs w:val="22"/>
        </w:rPr>
        <w:t xml:space="preserve"> is used to reduce steady-state oscillations which may lead to errors [5]. The state vector </w:t>
      </w:r>
      <w:r w:rsidRPr="007332B5">
        <w:rPr>
          <w:rFonts w:ascii="Garamond" w:hAnsi="Garamond" w:cs="Arial"/>
          <w:i/>
          <w:iCs/>
          <w:color w:val="000000"/>
          <w:sz w:val="22"/>
          <w:szCs w:val="22"/>
        </w:rPr>
        <w:t>x(k)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4075" w:rsidTr="00574B83">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0E30E66A" wp14:editId="0504244A">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0AF0CBB4" wp14:editId="52C3814C">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574B83">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R </w:t>
      </w:r>
      <w:r w:rsidRPr="00B723C7">
        <w:rPr>
          <w:rFonts w:ascii="Garamond" w:hAnsi="Garamond" w:cs="Arial"/>
          <w:color w:val="000000"/>
        </w:rPr>
        <w:t>are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r w:rsidRPr="001853A9">
        <w:rPr>
          <w:rFonts w:ascii="Garamond" w:hAnsi="Garamond" w:cstheme="minorHAnsi"/>
        </w:rPr>
        <w:t xml:space="preserve">Cayley-Hamilton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the input u(k)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Now utilizing the same approaches as the Cayley-Hamilton theorem and rearranging terms the Δ(</w:t>
      </w:r>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a Kalman filter. This internal K</w:t>
      </w:r>
      <w:r w:rsidRPr="001853A9">
        <w:rPr>
          <w:rFonts w:ascii="Garamond" w:eastAsia="Times New Roman" w:hAnsi="Garamond" w:cs="Arial"/>
          <w:color w:val="000000"/>
        </w:rPr>
        <w:t>alman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Kalman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cRIO’s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43777E" w:rsidRDefault="003648E7" w:rsidP="0043777E">
      <w:pPr>
        <w:pStyle w:val="Heading3"/>
        <w:rPr>
          <w:rFonts w:ascii="Arial" w:hAnsi="Arial" w:cs="Arial"/>
          <w:sz w:val="28"/>
          <w:szCs w:val="28"/>
        </w:rPr>
      </w:pPr>
      <w:r w:rsidRPr="0043777E">
        <w:rPr>
          <w:rFonts w:ascii="Arial" w:hAnsi="Arial" w:cs="Arial"/>
          <w:sz w:val="28"/>
          <w:szCs w:val="28"/>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48E7" w:rsidRPr="00CA38F0" w:rsidTr="00574B83">
        <w:tc>
          <w:tcPr>
            <w:tcW w:w="0" w:type="auto"/>
            <w:tcMar>
              <w:top w:w="105" w:type="dxa"/>
              <w:left w:w="105" w:type="dxa"/>
              <w:bottom w:w="105" w:type="dxa"/>
              <w:right w:w="105" w:type="dxa"/>
            </w:tcMar>
            <w:hideMark/>
          </w:tcPr>
          <w:p w:rsidR="003648E7" w:rsidRPr="00CA38F0" w:rsidRDefault="003648E7" w:rsidP="0043777E">
            <w:pPr>
              <w:spacing w:line="0" w:lineRule="atLeast"/>
              <w:jc w:val="center"/>
              <w:rPr>
                <w:rFonts w:ascii="Garamond" w:hAnsi="Garamond"/>
              </w:rPr>
            </w:pPr>
            <w:r w:rsidRPr="00CA38F0">
              <w:rPr>
                <w:rFonts w:ascii="Garamond" w:hAnsi="Garamond"/>
                <w:noProof/>
              </w:rPr>
              <w:lastRenderedPageBreak/>
              <w:drawing>
                <wp:inline distT="0" distB="0" distL="0" distR="0" wp14:anchorId="7AFB35BC" wp14:editId="124962B6">
                  <wp:extent cx="5632704" cy="2998043"/>
                  <wp:effectExtent l="0" t="0" r="635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704" cy="2998043"/>
                          </a:xfrm>
                          <a:prstGeom prst="rect">
                            <a:avLst/>
                          </a:prstGeom>
                          <a:noFill/>
                          <a:ln>
                            <a:noFill/>
                          </a:ln>
                        </pic:spPr>
                      </pic:pic>
                    </a:graphicData>
                  </a:graphic>
                </wp:inline>
              </w:drawing>
            </w:r>
          </w:p>
        </w:tc>
      </w:tr>
      <w:tr w:rsidR="003648E7" w:rsidRPr="00CA38F0" w:rsidTr="00574B83">
        <w:tc>
          <w:tcPr>
            <w:tcW w:w="0" w:type="auto"/>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w:t>
      </w:r>
      <w:r w:rsidR="003648E7" w:rsidRPr="00CA38F0">
        <w:rPr>
          <w:rFonts w:ascii="Garamond" w:hAnsi="Garamond" w:cs="Arial"/>
          <w:color w:val="000000"/>
          <w:sz w:val="22"/>
          <w:szCs w:val="22"/>
        </w:rPr>
        <w:lastRenderedPageBreak/>
        <w:t>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102E5B33" wp14:editId="5D6D64C1">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574B83">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655D07DD" wp14:editId="3D03A91D">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574B83">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On the electrical side, the basic components of the robot were wired together.  We added some extra features,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0513B40" wp14:editId="775AF19F">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574B83">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0DAE8F32" wp14:editId="7CB823AA">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50DD37C0" wp14:editId="51B09BCA">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860B33" wp14:editId="55689737">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While LabVIEW natively supports many different controllers and sensors, the Microstrain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Microstrain’s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44754D13" wp14:editId="631A9AF5">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sidRPr="00574B83">
              <w:rPr>
                <w:rFonts w:ascii="Garamond" w:hAnsi="Garamond" w:cs="Arial"/>
                <w:b/>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lastRenderedPageBreak/>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663857" w:rsidRDefault="00264704" w:rsidP="00FF17EC">
      <w:pPr>
        <w:rPr>
          <w:rFonts w:ascii="Garamond" w:hAnsi="Garamond"/>
        </w:rPr>
      </w:pPr>
      <w:r>
        <w:tab/>
      </w:r>
      <w:r w:rsidRPr="00264704">
        <w:rPr>
          <w:rFonts w:ascii="Garamond" w:hAnsi="Garamond"/>
        </w:rPr>
        <w:t xml:space="preserve">While </w:t>
      </w:r>
      <w:r>
        <w:rPr>
          <w:rFonts w:ascii="Garamond" w:hAnsi="Garamond"/>
        </w:rPr>
        <w:t>the team was</w:t>
      </w:r>
      <w:r w:rsidRPr="00264704">
        <w:rPr>
          <w:rFonts w:ascii="Garamond" w:hAnsi="Garamond"/>
        </w:rPr>
        <w:t xml:space="preserve"> unable to finish the project</w:t>
      </w:r>
      <w:r>
        <w:rPr>
          <w:rFonts w:ascii="Garamond" w:hAnsi="Garamond"/>
        </w:rPr>
        <w:t xml:space="preserve"> to our original PDS specifications due to the setbacks encountered, many of the categories originally planned were met.  </w:t>
      </w:r>
    </w:p>
    <w:p w:rsidR="00663857" w:rsidRDefault="00663857" w:rsidP="00663857">
      <w:pPr>
        <w:pStyle w:val="Heading3"/>
        <w:rPr>
          <w:rFonts w:ascii="Arial" w:hAnsi="Arial" w:cs="Arial"/>
          <w:sz w:val="28"/>
          <w:szCs w:val="28"/>
        </w:rPr>
      </w:pPr>
      <w:r>
        <w:rPr>
          <w:rFonts w:ascii="Arial" w:hAnsi="Arial" w:cs="Arial"/>
          <w:sz w:val="28"/>
          <w:szCs w:val="28"/>
        </w:rPr>
        <w:t xml:space="preserve">2.3.1 </w:t>
      </w:r>
      <w:r w:rsidRPr="00663857">
        <w:rPr>
          <w:rFonts w:ascii="Arial" w:hAnsi="Arial" w:cs="Arial"/>
          <w:sz w:val="28"/>
          <w:szCs w:val="28"/>
        </w:rPr>
        <w:t>Aesthetics</w:t>
      </w:r>
    </w:p>
    <w:p w:rsidR="00663857" w:rsidRPr="00663857" w:rsidRDefault="00663857" w:rsidP="00663857">
      <w:pPr>
        <w:rPr>
          <w:rFonts w:ascii="Garamond" w:hAnsi="Garamond"/>
        </w:rPr>
      </w:pPr>
      <w:r>
        <w:rPr>
          <w:rFonts w:ascii="Garamond" w:hAnsi="Garamond"/>
        </w:rPr>
        <w:tab/>
        <w:t>The original requirement for aesthetics stated that since the robot is meant to be used as a promotional tool for both National Instruments and the Rose-Hulman Robotics program, the appearance should be clean and feature prominent logos for both parties.  The finalized robot design features a Rose-Hulman Robotics button, as well as the cRIO from NI on full display.</w:t>
      </w:r>
    </w:p>
    <w:p w:rsidR="00663857" w:rsidRDefault="00663857" w:rsidP="00663857">
      <w:pPr>
        <w:pStyle w:val="Heading3"/>
        <w:rPr>
          <w:rFonts w:ascii="Arial" w:hAnsi="Arial" w:cs="Arial"/>
          <w:sz w:val="28"/>
          <w:szCs w:val="28"/>
        </w:rPr>
      </w:pPr>
      <w:r>
        <w:rPr>
          <w:rFonts w:ascii="Arial" w:hAnsi="Arial" w:cs="Arial"/>
          <w:sz w:val="28"/>
          <w:szCs w:val="28"/>
        </w:rPr>
        <w:lastRenderedPageBreak/>
        <w:t>2.3.2</w:t>
      </w:r>
      <w:r>
        <w:rPr>
          <w:rFonts w:ascii="Arial" w:hAnsi="Arial" w:cs="Arial"/>
          <w:sz w:val="28"/>
          <w:szCs w:val="28"/>
        </w:rPr>
        <w:t xml:space="preserve"> </w:t>
      </w:r>
      <w:r>
        <w:rPr>
          <w:rFonts w:ascii="Arial" w:hAnsi="Arial" w:cs="Arial"/>
          <w:sz w:val="28"/>
          <w:szCs w:val="28"/>
        </w:rPr>
        <w:t>Dimensions</w:t>
      </w:r>
    </w:p>
    <w:p w:rsidR="00663857" w:rsidRPr="00663857" w:rsidRDefault="00663857" w:rsidP="00663857">
      <w:pPr>
        <w:rPr>
          <w:rFonts w:ascii="Garamond" w:hAnsi="Garamond"/>
        </w:rPr>
      </w:pPr>
      <w:r>
        <w:rPr>
          <w:rFonts w:ascii="Garamond" w:hAnsi="Garamond"/>
        </w:rPr>
        <w:tab/>
        <w:t>The robot’s size and shape are both large enough to be visible as a demonstration piece, yet small enough to be easily transported.  Due to the aluminum extrusion used to construct the frame, the robot is even modular, though a bit more work is required to disassemble and reassemble the unicycle.  Additionally, the robot can be wheeled around for short-distance transportation, and is light enough to be shipped commercially.</w:t>
      </w:r>
    </w:p>
    <w:p w:rsidR="00663857" w:rsidRDefault="00663857" w:rsidP="00663857">
      <w:pPr>
        <w:pStyle w:val="Heading3"/>
        <w:rPr>
          <w:rFonts w:ascii="Arial" w:hAnsi="Arial" w:cs="Arial"/>
          <w:sz w:val="28"/>
          <w:szCs w:val="28"/>
        </w:rPr>
      </w:pPr>
      <w:r>
        <w:rPr>
          <w:rFonts w:ascii="Arial" w:hAnsi="Arial" w:cs="Arial"/>
          <w:sz w:val="28"/>
          <w:szCs w:val="28"/>
        </w:rPr>
        <w:t>2.3.3</w:t>
      </w:r>
      <w:r>
        <w:rPr>
          <w:rFonts w:ascii="Arial" w:hAnsi="Arial" w:cs="Arial"/>
          <w:sz w:val="28"/>
          <w:szCs w:val="28"/>
        </w:rPr>
        <w:t xml:space="preserve"> </w:t>
      </w:r>
      <w:r>
        <w:rPr>
          <w:rFonts w:ascii="Arial" w:hAnsi="Arial" w:cs="Arial"/>
          <w:sz w:val="28"/>
          <w:szCs w:val="28"/>
        </w:rPr>
        <w:t>Compatibility</w:t>
      </w:r>
    </w:p>
    <w:p w:rsidR="00663857" w:rsidRPr="00663857" w:rsidRDefault="00663857" w:rsidP="00663857">
      <w:pPr>
        <w:rPr>
          <w:rFonts w:ascii="Garamond" w:hAnsi="Garamond"/>
        </w:rPr>
      </w:pPr>
      <w:r>
        <w:rPr>
          <w:rFonts w:ascii="Garamond" w:hAnsi="Garamond"/>
        </w:rPr>
        <w:tab/>
        <w:t>Since our robot utilizes the most current versions of NI’s cRIO real-time controller and LabVIEW, the robot fulfills our initial compatibility requirements with NI’s future versions of LabVIEW, unless a major change occurs (outside of scope).</w:t>
      </w:r>
    </w:p>
    <w:p w:rsidR="00663857" w:rsidRDefault="00663857" w:rsidP="00663857">
      <w:pPr>
        <w:pStyle w:val="Heading3"/>
        <w:rPr>
          <w:rFonts w:ascii="Arial" w:hAnsi="Arial" w:cs="Arial"/>
          <w:sz w:val="28"/>
          <w:szCs w:val="28"/>
        </w:rPr>
      </w:pPr>
      <w:r>
        <w:rPr>
          <w:rFonts w:ascii="Arial" w:hAnsi="Arial" w:cs="Arial"/>
          <w:sz w:val="28"/>
          <w:szCs w:val="28"/>
        </w:rPr>
        <w:t>2.3.4</w:t>
      </w:r>
      <w:r>
        <w:rPr>
          <w:rFonts w:ascii="Arial" w:hAnsi="Arial" w:cs="Arial"/>
          <w:sz w:val="28"/>
          <w:szCs w:val="28"/>
        </w:rPr>
        <w:t xml:space="preserve"> </w:t>
      </w:r>
      <w:r>
        <w:rPr>
          <w:rFonts w:ascii="Arial" w:hAnsi="Arial" w:cs="Arial"/>
          <w:sz w:val="28"/>
          <w:szCs w:val="28"/>
        </w:rPr>
        <w:t>Connectors</w:t>
      </w:r>
    </w:p>
    <w:p w:rsidR="00922EED" w:rsidRPr="00922EED" w:rsidRDefault="00922EED" w:rsidP="00922EED">
      <w:pPr>
        <w:rPr>
          <w:rFonts w:ascii="Garamond" w:hAnsi="Garamond"/>
        </w:rPr>
      </w:pPr>
      <w:r>
        <w:rPr>
          <w:rFonts w:ascii="Garamond" w:hAnsi="Garamond"/>
        </w:rPr>
        <w:tab/>
        <w:t xml:space="preserve">According to the team’s original PDS, the robot’s connectors should </w:t>
      </w:r>
      <w:r w:rsidR="0022660E">
        <w:rPr>
          <w:rFonts w:ascii="Garamond" w:hAnsi="Garamond"/>
        </w:rPr>
        <w:t>be standardized, color-coded, and gender protected.  This is indeed the case, as our connectors for each sub-system of the robot (power, communication, etc) are different, and color coded so that it is easy to see when a connection is made improperly (e.g. the top wheel communication line is connected to the bottom wheel).</w:t>
      </w:r>
    </w:p>
    <w:p w:rsidR="00922EED" w:rsidRDefault="00663857" w:rsidP="00922EED">
      <w:pPr>
        <w:pStyle w:val="Heading3"/>
        <w:rPr>
          <w:rFonts w:ascii="Arial" w:hAnsi="Arial" w:cs="Arial"/>
          <w:sz w:val="28"/>
          <w:szCs w:val="28"/>
        </w:rPr>
      </w:pPr>
      <w:r>
        <w:rPr>
          <w:rFonts w:ascii="Arial" w:hAnsi="Arial" w:cs="Arial"/>
          <w:sz w:val="28"/>
          <w:szCs w:val="28"/>
        </w:rPr>
        <w:t>2.3.5</w:t>
      </w:r>
      <w:r>
        <w:rPr>
          <w:rFonts w:ascii="Arial" w:hAnsi="Arial" w:cs="Arial"/>
          <w:sz w:val="28"/>
          <w:szCs w:val="28"/>
        </w:rPr>
        <w:t xml:space="preserve"> </w:t>
      </w:r>
      <w:r>
        <w:rPr>
          <w:rFonts w:ascii="Arial" w:hAnsi="Arial" w:cs="Arial"/>
          <w:sz w:val="28"/>
          <w:szCs w:val="28"/>
        </w:rPr>
        <w:t>Power</w:t>
      </w:r>
    </w:p>
    <w:p w:rsidR="0022660E" w:rsidRPr="0022660E" w:rsidRDefault="0022660E" w:rsidP="0022660E">
      <w:pPr>
        <w:rPr>
          <w:rFonts w:ascii="Garamond" w:hAnsi="Garamond"/>
        </w:rPr>
      </w:pPr>
      <w:r>
        <w:rPr>
          <w:rFonts w:ascii="Garamond" w:hAnsi="Garamond"/>
        </w:rPr>
        <w:tab/>
        <w:t>The robot’s batteries are two 12V sealed lead acid batteries connected in series for the 24V rail that powers both motors and the onboard electronics. The batteries are connected by industrial Velcro, and replacements can be purchased in the event that the user prefers to swap the batteries rather than recharge them.</w:t>
      </w:r>
    </w:p>
    <w:p w:rsidR="00922EED" w:rsidRDefault="00922EED" w:rsidP="00922EED">
      <w:pPr>
        <w:pStyle w:val="Heading3"/>
        <w:rPr>
          <w:rFonts w:ascii="Arial" w:hAnsi="Arial" w:cs="Arial"/>
          <w:sz w:val="28"/>
          <w:szCs w:val="28"/>
        </w:rPr>
      </w:pPr>
      <w:r>
        <w:rPr>
          <w:rFonts w:ascii="Arial" w:hAnsi="Arial" w:cs="Arial"/>
          <w:sz w:val="28"/>
          <w:szCs w:val="28"/>
        </w:rPr>
        <w:t>2.3.</w:t>
      </w:r>
      <w:r>
        <w:rPr>
          <w:rFonts w:ascii="Arial" w:hAnsi="Arial" w:cs="Arial"/>
          <w:sz w:val="28"/>
          <w:szCs w:val="28"/>
        </w:rPr>
        <w:t>6 Design Constraints</w:t>
      </w:r>
    </w:p>
    <w:p w:rsidR="0022660E" w:rsidRPr="0022660E" w:rsidRDefault="0022660E" w:rsidP="0022660E">
      <w:pPr>
        <w:rPr>
          <w:rFonts w:ascii="Garamond" w:hAnsi="Garamond"/>
        </w:rPr>
      </w:pPr>
      <w:r>
        <w:tab/>
      </w:r>
      <w:r>
        <w:rPr>
          <w:rFonts w:ascii="Garamond" w:hAnsi="Garamond"/>
        </w:rPr>
        <w:t>The team’s only design constraints were that the robot be made with NI components wherever possible, and that the robot is able to balance in two-dimensions.  While the team was unable to complete the balancing portion of this requirement, the NI component preference was indeed met.</w:t>
      </w:r>
    </w:p>
    <w:p w:rsidR="00922EED" w:rsidRDefault="00922EED" w:rsidP="00922EED">
      <w:pPr>
        <w:pStyle w:val="Heading3"/>
        <w:rPr>
          <w:rFonts w:ascii="Arial" w:hAnsi="Arial" w:cs="Arial"/>
          <w:sz w:val="28"/>
          <w:szCs w:val="28"/>
        </w:rPr>
      </w:pPr>
      <w:r>
        <w:rPr>
          <w:rFonts w:ascii="Arial" w:hAnsi="Arial" w:cs="Arial"/>
          <w:sz w:val="28"/>
          <w:szCs w:val="28"/>
        </w:rPr>
        <w:t>2.3.</w:t>
      </w:r>
      <w:r>
        <w:rPr>
          <w:rFonts w:ascii="Arial" w:hAnsi="Arial" w:cs="Arial"/>
          <w:sz w:val="28"/>
          <w:szCs w:val="28"/>
        </w:rPr>
        <w:t>7 Security</w:t>
      </w:r>
    </w:p>
    <w:p w:rsidR="00663857" w:rsidRPr="00DA61DD" w:rsidRDefault="0022660E" w:rsidP="00663857">
      <w:pPr>
        <w:rPr>
          <w:rFonts w:ascii="Garamond" w:hAnsi="Garamond"/>
        </w:rPr>
      </w:pPr>
      <w:r>
        <w:rPr>
          <w:rFonts w:ascii="Garamond" w:hAnsi="Garamond"/>
        </w:rPr>
        <w:tab/>
        <w:t>Due to the fact that our project was a large heavy object with the potential to move quickly in the presence of people, many security measures are required.  While our original idea consisted of only a kill-switch, these measures expanded to also include a kill-cord and a built but unimplemented safety rig.</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A1262" w:rsidTr="00574B83">
        <w:tc>
          <w:tcPr>
            <w:tcW w:w="9576" w:type="dxa"/>
          </w:tcPr>
          <w:p w:rsidR="004A1262" w:rsidRDefault="004A1262" w:rsidP="004A1262">
            <w:pPr>
              <w:jc w:val="center"/>
              <w:rPr>
                <w:rFonts w:ascii="Garamond" w:hAnsi="Garamond"/>
              </w:rPr>
            </w:pPr>
            <w:r>
              <w:rPr>
                <w:noProof/>
              </w:rPr>
              <w:lastRenderedPageBreak/>
              <w:drawing>
                <wp:inline distT="0" distB="0" distL="0" distR="0" wp14:anchorId="094F0235" wp14:editId="371465C6">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574B83">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LabVIEW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lastRenderedPageBreak/>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relays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s the LabVIEW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s the cRIO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botics suite and the cRIO,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RoboteQ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Alibaba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key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lastRenderedPageBreak/>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r w:rsidR="00E83DF8">
        <w:rPr>
          <w:rFonts w:ascii="Garamond" w:hAnsi="Garamond"/>
        </w:rPr>
        <w:t>the kill switches.  However</w:t>
      </w:r>
      <w:r>
        <w:rPr>
          <w:rFonts w:ascii="Garamond" w:hAnsi="Garamond"/>
        </w:rPr>
        <w:t>,</w:t>
      </w:r>
      <w:r w:rsidR="00E83DF8">
        <w:rPr>
          <w:rFonts w:ascii="Garamond" w:hAnsi="Garamond"/>
        </w:rPr>
        <w:t xml:space="preserve"> </w:t>
      </w:r>
      <w:r>
        <w:rPr>
          <w:rFonts w:ascii="Garamond" w:hAnsi="Garamond"/>
        </w:rPr>
        <w:t xml:space="preserve">due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C0252F" w:rsidRDefault="008378D2" w:rsidP="00C0252F">
      <w:pPr>
        <w:ind w:firstLine="720"/>
        <w:jc w:val="both"/>
        <w:rPr>
          <w:rFonts w:ascii="Garamond" w:hAnsi="Garamond"/>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C0252F" w:rsidRPr="00C0252F" w:rsidRDefault="00C0252F" w:rsidP="00C0252F">
      <w:pPr>
        <w:ind w:firstLine="720"/>
        <w:jc w:val="both"/>
        <w:rPr>
          <w:rFonts w:ascii="Garamond" w:hAnsi="Garamond"/>
        </w:rPr>
      </w:pPr>
      <w:bookmarkStart w:id="0" w:name="_GoBack"/>
      <w:bookmarkEnd w:id="0"/>
    </w:p>
    <w:p w:rsidR="004B3462" w:rsidRDefault="008378D2" w:rsidP="004B3462">
      <w:pPr>
        <w:pStyle w:val="Heading2"/>
        <w:rPr>
          <w:rFonts w:ascii="Arial" w:hAnsi="Arial" w:cs="Arial"/>
          <w:sz w:val="32"/>
          <w:szCs w:val="32"/>
        </w:rPr>
      </w:pPr>
      <w:r>
        <w:rPr>
          <w:rFonts w:ascii="Arial" w:hAnsi="Arial" w:cs="Arial"/>
          <w:sz w:val="32"/>
          <w:szCs w:val="32"/>
        </w:rPr>
        <w:lastRenderedPageBreak/>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Kappeler, Fabian. </w:t>
      </w:r>
      <w:r w:rsidRPr="007332B5">
        <w:rPr>
          <w:rFonts w:ascii="Times New Roman" w:hAnsi="Times New Roman" w:cs="Times New Roman"/>
          <w:b w:val="0"/>
          <w:bCs w:val="0"/>
          <w:i/>
          <w:iCs/>
          <w:color w:val="000000"/>
          <w:sz w:val="20"/>
          <w:szCs w:val="20"/>
        </w:rPr>
        <w:t>Unicycle Robot.</w:t>
      </w:r>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Kadis, D. Caldecott, A. Edwards, M. Jerbic, R. Madigan, M. Haynes, B. Cazoolato,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Majima, T. Kasai, </w:t>
      </w:r>
      <w:r w:rsidRPr="007332B5">
        <w:rPr>
          <w:i/>
          <w:iCs/>
          <w:color w:val="000000"/>
          <w:sz w:val="20"/>
          <w:szCs w:val="20"/>
        </w:rPr>
        <w:t>A Controller for Changing the Yaw Direction of an Undergraduate Unicycle Robot,</w:t>
      </w:r>
      <w:r w:rsidRPr="007332B5">
        <w:rPr>
          <w:color w:val="000000"/>
          <w:sz w:val="20"/>
          <w:szCs w:val="20"/>
        </w:rPr>
        <w:t xml:space="preserve"> University of Tsukaba,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“NovAtel Integrated GPS/IMU”, AutonomouStuff, October 4</w:t>
      </w:r>
      <w:r w:rsidRPr="007332B5">
        <w:rPr>
          <w:color w:val="000000"/>
          <w:sz w:val="20"/>
          <w:szCs w:val="20"/>
          <w:vertAlign w:val="superscript"/>
        </w:rPr>
        <w:t>th</w:t>
      </w:r>
      <w:r w:rsidRPr="007332B5">
        <w:rPr>
          <w:color w:val="000000"/>
          <w:sz w:val="20"/>
          <w:szCs w:val="20"/>
        </w:rPr>
        <w:t>,2012. [Online].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995" w:rsidRDefault="00A05995" w:rsidP="008C5165">
      <w:pPr>
        <w:spacing w:after="0" w:line="240" w:lineRule="auto"/>
      </w:pPr>
      <w:r>
        <w:separator/>
      </w:r>
    </w:p>
  </w:endnote>
  <w:endnote w:type="continuationSeparator" w:id="0">
    <w:p w:rsidR="00A05995" w:rsidRDefault="00A05995"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0252F">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252F">
              <w:rPr>
                <w:b/>
                <w:bCs/>
                <w:noProof/>
              </w:rPr>
              <w:t>19</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995" w:rsidRDefault="00A05995" w:rsidP="008C5165">
      <w:pPr>
        <w:spacing w:after="0" w:line="240" w:lineRule="auto"/>
      </w:pPr>
      <w:r>
        <w:separator/>
      </w:r>
    </w:p>
  </w:footnote>
  <w:footnote w:type="continuationSeparator" w:id="0">
    <w:p w:rsidR="00A05995" w:rsidRDefault="00A05995"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22660E"/>
    <w:rsid w:val="00264704"/>
    <w:rsid w:val="00333680"/>
    <w:rsid w:val="00345EC4"/>
    <w:rsid w:val="003648E7"/>
    <w:rsid w:val="0043777E"/>
    <w:rsid w:val="0044198B"/>
    <w:rsid w:val="00467584"/>
    <w:rsid w:val="004A1262"/>
    <w:rsid w:val="004B07F1"/>
    <w:rsid w:val="004B3462"/>
    <w:rsid w:val="005365C3"/>
    <w:rsid w:val="00554669"/>
    <w:rsid w:val="00574B83"/>
    <w:rsid w:val="00663857"/>
    <w:rsid w:val="0067666E"/>
    <w:rsid w:val="006825CA"/>
    <w:rsid w:val="00704075"/>
    <w:rsid w:val="007332B5"/>
    <w:rsid w:val="007B7363"/>
    <w:rsid w:val="007D533D"/>
    <w:rsid w:val="00815A78"/>
    <w:rsid w:val="008378D2"/>
    <w:rsid w:val="008C5165"/>
    <w:rsid w:val="008D378B"/>
    <w:rsid w:val="00922EED"/>
    <w:rsid w:val="00974A23"/>
    <w:rsid w:val="00981308"/>
    <w:rsid w:val="009A37B3"/>
    <w:rsid w:val="00A05995"/>
    <w:rsid w:val="00A228EC"/>
    <w:rsid w:val="00A27576"/>
    <w:rsid w:val="00A3673C"/>
    <w:rsid w:val="00AE413E"/>
    <w:rsid w:val="00B40DD5"/>
    <w:rsid w:val="00B51516"/>
    <w:rsid w:val="00B723C7"/>
    <w:rsid w:val="00B85100"/>
    <w:rsid w:val="00BC1A9B"/>
    <w:rsid w:val="00BE5EE7"/>
    <w:rsid w:val="00C0252F"/>
    <w:rsid w:val="00C82F25"/>
    <w:rsid w:val="00CA38F0"/>
    <w:rsid w:val="00DA3FF9"/>
    <w:rsid w:val="00DA61DD"/>
    <w:rsid w:val="00DC3DEF"/>
    <w:rsid w:val="00DC623A"/>
    <w:rsid w:val="00DE7719"/>
    <w:rsid w:val="00DF1EE4"/>
    <w:rsid w:val="00E8268D"/>
    <w:rsid w:val="00E83DF8"/>
    <w:rsid w:val="00F0080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19</Pages>
  <Words>6354</Words>
  <Characters>36221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Spencer Carver</cp:lastModifiedBy>
  <cp:revision>16</cp:revision>
  <dcterms:created xsi:type="dcterms:W3CDTF">2013-05-13T01:46:00Z</dcterms:created>
  <dcterms:modified xsi:type="dcterms:W3CDTF">2013-05-13T23:52:00Z</dcterms:modified>
</cp:coreProperties>
</file>