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cover page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preface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contents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mechanical modeling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controls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hardware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troubleshooting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parts list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suggestions for improvement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glossary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72"/>
          <w:rtl w:val="0"/>
        </w:rPr>
        <w:t xml:space="preserve">parts list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hub motors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power converters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relay 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circuit breaker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batteries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cRIO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motor controller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IMU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kill switch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pull out kill switch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dc-dc converter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Mechanical Frame: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80-20 T-slotted aluminum extrusion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anchor fasteners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end fasteners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Manual.docx</dc:title>
</cp:coreProperties>
</file>